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04" w:rsidRPr="00074AEB" w:rsidRDefault="003D59D7" w:rsidP="00650804">
      <w:pPr>
        <w:spacing w:line="360" w:lineRule="auto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Quinto</w:t>
      </w:r>
      <w:r w:rsidR="00650804" w:rsidRPr="00074AEB">
        <w:rPr>
          <w:b/>
          <w:sz w:val="32"/>
          <w:szCs w:val="32"/>
          <w:lang w:val="pt-BR"/>
        </w:rPr>
        <w:t xml:space="preserve"> Trabalho de Econofísica</w:t>
      </w:r>
    </w:p>
    <w:p w:rsidR="00650804" w:rsidRPr="00074AEB" w:rsidRDefault="00650804" w:rsidP="00650804">
      <w:pPr>
        <w:spacing w:line="360" w:lineRule="auto"/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>Primeiro semestre de 201</w:t>
      </w:r>
      <w:r w:rsidR="003D59D7">
        <w:rPr>
          <w:b/>
          <w:sz w:val="28"/>
          <w:szCs w:val="28"/>
          <w:lang w:val="pt-BR"/>
        </w:rPr>
        <w:t>3</w:t>
      </w:r>
    </w:p>
    <w:p w:rsidR="00650804" w:rsidRPr="00074AEB" w:rsidRDefault="00650804" w:rsidP="00650804">
      <w:pPr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 xml:space="preserve">Prof.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Carlos</w:t>
        </w:r>
      </w:smartTag>
      <w:r w:rsidRPr="00074AEB">
        <w:rPr>
          <w:b/>
          <w:sz w:val="28"/>
          <w:szCs w:val="28"/>
          <w:lang w:val="pt-BR"/>
        </w:rPr>
        <w:t xml:space="preserve">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Lenz</w:t>
        </w:r>
      </w:smartTag>
      <w:r w:rsidRPr="00074AEB">
        <w:rPr>
          <w:b/>
          <w:sz w:val="28"/>
          <w:szCs w:val="28"/>
          <w:lang w:val="pt-BR"/>
        </w:rPr>
        <w:t xml:space="preserve"> Cesar</w:t>
      </w:r>
    </w:p>
    <w:p w:rsidR="00650804" w:rsidRPr="00074AEB" w:rsidRDefault="00650804" w:rsidP="00650804">
      <w:pPr>
        <w:jc w:val="center"/>
        <w:rPr>
          <w:b/>
          <w:lang w:val="pt-BR"/>
        </w:rPr>
      </w:pPr>
    </w:p>
    <w:p w:rsidR="003F33E0" w:rsidRDefault="0021196C" w:rsidP="0021196C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FD6FD8">
        <w:rPr>
          <w:b/>
          <w:lang w:val="pt-BR"/>
        </w:rPr>
        <w:t>Simulação de Monte Carlo</w:t>
      </w:r>
      <w:r w:rsidR="00E01B07">
        <w:rPr>
          <w:lang w:val="pt-BR"/>
        </w:rPr>
        <w:t>. Gere pelo menos 1</w:t>
      </w:r>
      <w:r>
        <w:rPr>
          <w:lang w:val="pt-BR"/>
        </w:rPr>
        <w:t>000 pontos</w:t>
      </w:r>
      <w:r w:rsidR="00E01B07">
        <w:rPr>
          <w:lang w:val="pt-BR"/>
        </w:rPr>
        <w:t xml:space="preserve"> para simular uma variável aleatória de cada uma das seguintes distribuições</w:t>
      </w:r>
      <w:r>
        <w:rPr>
          <w:lang w:val="pt-BR"/>
        </w:rPr>
        <w:t xml:space="preserve">: </w:t>
      </w:r>
      <w:r w:rsidRPr="008946D4">
        <w:rPr>
          <w:lang w:val="pt-BR"/>
        </w:rPr>
        <w:t>Normal</w:t>
      </w:r>
      <w:r>
        <w:rPr>
          <w:lang w:val="pt-BR"/>
        </w:rPr>
        <w:t xml:space="preserve"> [10</w:t>
      </w:r>
      <w:r w:rsidR="00E01B07">
        <w:rPr>
          <w:lang w:val="pt-BR"/>
        </w:rPr>
        <w:t>;</w:t>
      </w:r>
      <w:r>
        <w:rPr>
          <w:lang w:val="pt-BR"/>
        </w:rPr>
        <w:t xml:space="preserve">1]; </w:t>
      </w:r>
      <w:r w:rsidRPr="008946D4">
        <w:rPr>
          <w:lang w:val="pt-BR"/>
        </w:rPr>
        <w:t>Lognormal</w:t>
      </w:r>
      <w:r>
        <w:rPr>
          <w:lang w:val="pt-BR"/>
        </w:rPr>
        <w:t>[</w:t>
      </w:r>
      <w:r w:rsidR="00BD0056">
        <w:rPr>
          <w:lang w:val="pt-BR"/>
        </w:rPr>
        <w:t>3</w:t>
      </w:r>
      <w:r w:rsidR="00E01B07">
        <w:rPr>
          <w:lang w:val="pt-BR"/>
        </w:rPr>
        <w:t>;</w:t>
      </w:r>
      <w:r w:rsidR="00BD0056">
        <w:rPr>
          <w:lang w:val="pt-BR"/>
        </w:rPr>
        <w:t>0.3</w:t>
      </w:r>
      <w:r>
        <w:rPr>
          <w:lang w:val="pt-BR"/>
        </w:rPr>
        <w:t>]; Gamma[5</w:t>
      </w:r>
      <w:r w:rsidR="00E01B07">
        <w:rPr>
          <w:lang w:val="pt-BR"/>
        </w:rPr>
        <w:t>;</w:t>
      </w:r>
      <w:r>
        <w:rPr>
          <w:lang w:val="pt-BR"/>
        </w:rPr>
        <w:t xml:space="preserve">1]; </w:t>
      </w:r>
      <w:r w:rsidRPr="008946D4">
        <w:rPr>
          <w:lang w:val="pt-BR"/>
        </w:rPr>
        <w:t>Beta</w:t>
      </w:r>
      <w:r w:rsidR="00573FA2">
        <w:rPr>
          <w:lang w:val="pt-BR"/>
        </w:rPr>
        <w:t>[8</w:t>
      </w:r>
      <w:r w:rsidR="00E01B07">
        <w:rPr>
          <w:lang w:val="pt-BR"/>
        </w:rPr>
        <w:t>;</w:t>
      </w:r>
      <w:r w:rsidR="00573FA2">
        <w:rPr>
          <w:lang w:val="pt-BR"/>
        </w:rPr>
        <w:t>5] e</w:t>
      </w:r>
      <w:r>
        <w:rPr>
          <w:lang w:val="pt-BR"/>
        </w:rPr>
        <w:t xml:space="preserve"> </w:t>
      </w:r>
      <w:r w:rsidRPr="008946D4">
        <w:rPr>
          <w:lang w:val="pt-BR"/>
        </w:rPr>
        <w:t>Binomial</w:t>
      </w:r>
      <w:r w:rsidR="00573FA2">
        <w:rPr>
          <w:lang w:val="pt-BR"/>
        </w:rPr>
        <w:t>[8</w:t>
      </w:r>
      <w:r w:rsidR="00E01B07">
        <w:rPr>
          <w:lang w:val="pt-BR"/>
        </w:rPr>
        <w:t>;</w:t>
      </w:r>
      <w:r w:rsidR="00573FA2">
        <w:rPr>
          <w:lang w:val="pt-BR"/>
        </w:rPr>
        <w:t>0.6]</w:t>
      </w:r>
      <w:r>
        <w:rPr>
          <w:lang w:val="pt-BR"/>
        </w:rPr>
        <w:t xml:space="preserve">. Utilize o comando FREQUENCY do Excel para encontrar a função densidade de probabilidade </w:t>
      </w:r>
      <w:r w:rsidRPr="00023EFF">
        <w:rPr>
          <w:lang w:val="pt-BR"/>
        </w:rPr>
        <w:t xml:space="preserve">[fdp] </w:t>
      </w:r>
      <w:r>
        <w:rPr>
          <w:lang w:val="pt-BR"/>
        </w:rPr>
        <w:t>e i</w:t>
      </w:r>
      <w:r w:rsidRPr="00023EFF">
        <w:rPr>
          <w:lang w:val="pt-BR"/>
        </w:rPr>
        <w:t>ntegre</w:t>
      </w:r>
      <w:r>
        <w:rPr>
          <w:lang w:val="pt-BR"/>
        </w:rPr>
        <w:t xml:space="preserve"> </w:t>
      </w:r>
      <w:r w:rsidRPr="00023EFF">
        <w:rPr>
          <w:lang w:val="pt-BR"/>
        </w:rPr>
        <w:t>a f</w:t>
      </w:r>
      <w:r>
        <w:rPr>
          <w:lang w:val="pt-BR"/>
        </w:rPr>
        <w:t>dp</w:t>
      </w:r>
      <w:r w:rsidRPr="00023EFF">
        <w:rPr>
          <w:lang w:val="pt-BR"/>
        </w:rPr>
        <w:t xml:space="preserve"> para encontrar a Função Distribuição Acumulada [FDA]. </w:t>
      </w:r>
    </w:p>
    <w:p w:rsidR="00E01B07" w:rsidRDefault="00E01B07" w:rsidP="00E01B0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FD6FD8">
        <w:rPr>
          <w:b/>
          <w:lang w:val="pt-BR"/>
        </w:rPr>
        <w:t>Simulação de Monte Carlo</w:t>
      </w:r>
      <w:r>
        <w:rPr>
          <w:lang w:val="pt-BR"/>
        </w:rPr>
        <w:t xml:space="preserve">. Repita o problema (1) para simular uma v.a. que segue a distribuição de Poisson com </w:t>
      </w:r>
      <w:r w:rsidRPr="00E01B07">
        <w:rPr>
          <w:position w:val="-6"/>
          <w:lang w:val="pt-BR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4pt">
            <v:imagedata r:id="rId5" o:title=""/>
          </v:shape>
        </w:object>
      </w:r>
      <w:r>
        <w:rPr>
          <w:lang w:val="pt-BR"/>
        </w:rPr>
        <w:t xml:space="preserve">. Como o Excel não possui a </w:t>
      </w:r>
      <w:r w:rsidRPr="00E01B07">
        <w:rPr>
          <w:position w:val="-14"/>
          <w:lang w:val="pt-BR"/>
        </w:rPr>
        <w:object w:dxaOrig="800" w:dyaOrig="400">
          <v:shape id="_x0000_i1026" type="#_x0000_t75" style="width:40pt;height:20pt">
            <v:imagedata r:id="rId6" o:title=""/>
          </v:shape>
        </w:object>
      </w:r>
      <w:r>
        <w:rPr>
          <w:lang w:val="pt-BR"/>
        </w:rPr>
        <w:t>da distribuição de Poisso</w:t>
      </w:r>
      <w:r w:rsidR="0018294B">
        <w:rPr>
          <w:lang w:val="pt-BR"/>
        </w:rPr>
        <w:t>n</w:t>
      </w:r>
      <w:r>
        <w:rPr>
          <w:lang w:val="pt-BR"/>
        </w:rPr>
        <w:t xml:space="preserve">, crie uma tabela com distribuição direta </w:t>
      </w:r>
      <w:r w:rsidRPr="00E01B07">
        <w:rPr>
          <w:position w:val="-14"/>
          <w:lang w:val="pt-BR"/>
        </w:rPr>
        <w:object w:dxaOrig="600" w:dyaOrig="400">
          <v:shape id="_x0000_i1027" type="#_x0000_t75" style="width:30pt;height:20pt">
            <v:imagedata r:id="rId7" o:title=""/>
          </v:shape>
        </w:object>
      </w:r>
      <w:r>
        <w:rPr>
          <w:lang w:val="pt-BR"/>
        </w:rPr>
        <w:t xml:space="preserve"> e utilize a função procura [lookup] do Excel para encontrar a </w:t>
      </w:r>
      <w:r w:rsidRPr="00E01B07">
        <w:rPr>
          <w:position w:val="-14"/>
          <w:lang w:val="pt-BR"/>
        </w:rPr>
        <w:object w:dxaOrig="800" w:dyaOrig="400">
          <v:shape id="_x0000_i1028" type="#_x0000_t75" style="width:40pt;height:20pt">
            <v:imagedata r:id="rId6" o:title=""/>
          </v:shape>
        </w:object>
      </w:r>
      <w:r>
        <w:rPr>
          <w:lang w:val="pt-BR"/>
        </w:rPr>
        <w:t>.</w:t>
      </w:r>
    </w:p>
    <w:p w:rsidR="0021196C" w:rsidRDefault="0021196C" w:rsidP="0021196C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23EFF">
        <w:rPr>
          <w:lang w:val="pt-BR"/>
        </w:rPr>
        <w:t xml:space="preserve">Utilize a fdp </w:t>
      </w:r>
      <w:r w:rsidR="003F33E0">
        <w:rPr>
          <w:lang w:val="pt-BR"/>
        </w:rPr>
        <w:t>obtida no pro</w:t>
      </w:r>
      <w:r w:rsidR="00073EDA">
        <w:rPr>
          <w:lang w:val="pt-BR"/>
        </w:rPr>
        <w:t>b</w:t>
      </w:r>
      <w:r w:rsidR="003F33E0">
        <w:rPr>
          <w:lang w:val="pt-BR"/>
        </w:rPr>
        <w:t>lema (1) p</w:t>
      </w:r>
      <w:r w:rsidRPr="00023EFF">
        <w:rPr>
          <w:lang w:val="pt-BR"/>
        </w:rPr>
        <w:t xml:space="preserve">ara encontrar a </w:t>
      </w:r>
      <w:r>
        <w:rPr>
          <w:lang w:val="pt-BR"/>
        </w:rPr>
        <w:t>E</w:t>
      </w:r>
      <w:r w:rsidRPr="00023EFF">
        <w:rPr>
          <w:lang w:val="pt-BR"/>
        </w:rPr>
        <w:t>sperança</w:t>
      </w:r>
      <w:r>
        <w:rPr>
          <w:lang w:val="pt-BR"/>
        </w:rPr>
        <w:t>, Variância, M</w:t>
      </w:r>
      <w:r w:rsidRPr="00023EFF">
        <w:rPr>
          <w:lang w:val="pt-BR"/>
        </w:rPr>
        <w:t>oda</w:t>
      </w:r>
      <w:r>
        <w:rPr>
          <w:lang w:val="pt-BR"/>
        </w:rPr>
        <w:t>, S</w:t>
      </w:r>
      <w:r w:rsidRPr="0021196C">
        <w:rPr>
          <w:lang w:val="pt-BR"/>
        </w:rPr>
        <w:t xml:space="preserve">kewness e </w:t>
      </w:r>
      <w:r>
        <w:rPr>
          <w:lang w:val="pt-BR"/>
        </w:rPr>
        <w:t>K</w:t>
      </w:r>
      <w:r w:rsidRPr="0021196C">
        <w:rPr>
          <w:lang w:val="pt-BR"/>
        </w:rPr>
        <w:t>urtosis da</w:t>
      </w:r>
      <w:r w:rsidR="003F33E0">
        <w:rPr>
          <w:lang w:val="pt-BR"/>
        </w:rPr>
        <w:t>s</w:t>
      </w:r>
      <w:r w:rsidRPr="0021196C">
        <w:rPr>
          <w:lang w:val="pt-BR"/>
        </w:rPr>
        <w:t xml:space="preserve"> distribuiç</w:t>
      </w:r>
      <w:r w:rsidR="003F33E0">
        <w:rPr>
          <w:lang w:val="pt-BR"/>
        </w:rPr>
        <w:t xml:space="preserve">ões pedidas </w:t>
      </w:r>
      <w:r>
        <w:rPr>
          <w:lang w:val="pt-BR"/>
        </w:rPr>
        <w:t>e u</w:t>
      </w:r>
      <w:r w:rsidRPr="00023EFF">
        <w:rPr>
          <w:lang w:val="pt-BR"/>
        </w:rPr>
        <w:t>tilize a FDA para encontrar o primeiro, segundo e terceiro</w:t>
      </w:r>
      <w:r>
        <w:rPr>
          <w:lang w:val="pt-BR"/>
        </w:rPr>
        <w:t xml:space="preserve"> quartil</w:t>
      </w:r>
      <w:r w:rsidRPr="00023EFF">
        <w:rPr>
          <w:lang w:val="pt-BR"/>
        </w:rPr>
        <w:t>.</w:t>
      </w:r>
    </w:p>
    <w:p w:rsidR="003F33E0" w:rsidRDefault="003F33E0" w:rsidP="0021196C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Use a transformada discreta de Fourier pelo método da multiplicação matricial para fazer um gráfico das partes real e imaginária da</w:t>
      </w:r>
      <w:r w:rsidR="0018294B">
        <w:rPr>
          <w:lang w:val="pt-BR"/>
        </w:rPr>
        <w:t>s</w:t>
      </w:r>
      <w:r>
        <w:rPr>
          <w:lang w:val="pt-BR"/>
        </w:rPr>
        <w:t xml:space="preserve"> funç</w:t>
      </w:r>
      <w:r w:rsidR="0018294B">
        <w:rPr>
          <w:lang w:val="pt-BR"/>
        </w:rPr>
        <w:t>ões</w:t>
      </w:r>
      <w:r>
        <w:rPr>
          <w:lang w:val="pt-BR"/>
        </w:rPr>
        <w:t xml:space="preserve"> características das distribuições Normal, Gama, Exponencial e Uniforme. Observe a superposição das réplicas. Compare com gráficos das partes real e imaginária das expressões teóricas e suas réplicas.</w:t>
      </w:r>
    </w:p>
    <w:p w:rsidR="003F33E0" w:rsidRDefault="003F33E0" w:rsidP="0021196C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Use o add-in da FFT</w:t>
      </w:r>
      <w:r w:rsidR="00C23CD2">
        <w:rPr>
          <w:lang w:val="pt-BR"/>
        </w:rPr>
        <w:t xml:space="preserve"> do Excel</w:t>
      </w:r>
      <w:r>
        <w:rPr>
          <w:lang w:val="pt-BR"/>
        </w:rPr>
        <w:t xml:space="preserve"> para fazer um gráfico das partes real e imaginária da função característica da distribuição Normal.</w:t>
      </w:r>
      <w:r w:rsidR="00C23CD2">
        <w:rPr>
          <w:lang w:val="pt-BR"/>
        </w:rPr>
        <w:t xml:space="preserve"> Compare a distribuição inicial com a FFT inversa da fu</w:t>
      </w:r>
      <w:r w:rsidR="00053835">
        <w:rPr>
          <w:lang w:val="pt-BR"/>
        </w:rPr>
        <w:t>nção característica.</w:t>
      </w:r>
    </w:p>
    <w:p w:rsidR="00860792" w:rsidRDefault="00C23CD2" w:rsidP="0021196C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lastRenderedPageBreak/>
        <w:t xml:space="preserve">Faça </w:t>
      </w:r>
      <w:r w:rsidR="004D5EBF">
        <w:rPr>
          <w:lang w:val="pt-BR"/>
        </w:rPr>
        <w:t xml:space="preserve">um gráfico da </w:t>
      </w:r>
      <w:r w:rsidR="00053835">
        <w:rPr>
          <w:lang w:val="pt-BR"/>
        </w:rPr>
        <w:t>auto</w:t>
      </w:r>
      <w:r w:rsidR="004D5EBF">
        <w:rPr>
          <w:lang w:val="pt-BR"/>
        </w:rPr>
        <w:t xml:space="preserve">convolução e </w:t>
      </w:r>
      <w:r w:rsidR="00053835">
        <w:rPr>
          <w:lang w:val="pt-BR"/>
        </w:rPr>
        <w:t>auto</w:t>
      </w:r>
      <w:r w:rsidR="004D5EBF">
        <w:rPr>
          <w:lang w:val="pt-BR"/>
        </w:rPr>
        <w:t>correlação de uma distribuição</w:t>
      </w:r>
      <w:r w:rsidR="00053835">
        <w:rPr>
          <w:lang w:val="pt-BR"/>
        </w:rPr>
        <w:t xml:space="preserve"> gama(1.5</w:t>
      </w:r>
      <w:r w:rsidR="0018294B">
        <w:rPr>
          <w:lang w:val="pt-BR"/>
        </w:rPr>
        <w:t>;</w:t>
      </w:r>
      <w:r w:rsidR="00053835">
        <w:rPr>
          <w:lang w:val="pt-BR"/>
        </w:rPr>
        <w:t xml:space="preserve">1.0) </w:t>
      </w:r>
      <w:r w:rsidR="004D5EBF">
        <w:rPr>
          <w:lang w:val="pt-BR"/>
        </w:rPr>
        <w:t>obtida</w:t>
      </w:r>
      <w:r w:rsidR="00053835">
        <w:rPr>
          <w:lang w:val="pt-BR"/>
        </w:rPr>
        <w:t>s</w:t>
      </w:r>
      <w:r w:rsidR="004D5EBF">
        <w:rPr>
          <w:lang w:val="pt-BR"/>
        </w:rPr>
        <w:t xml:space="preserve"> diretamente das expressões </w:t>
      </w:r>
      <w:r w:rsidR="004D5EBF" w:rsidRPr="004D5EBF">
        <w:rPr>
          <w:position w:val="-30"/>
          <w:lang w:val="pt-BR"/>
        </w:rPr>
        <w:object w:dxaOrig="2640" w:dyaOrig="720">
          <v:shape id="_x0000_i1029" type="#_x0000_t75" style="width:132pt;height:36pt">
            <v:imagedata r:id="rId8" o:title=""/>
          </v:shape>
        </w:object>
      </w:r>
      <w:r w:rsidR="00860792">
        <w:rPr>
          <w:lang w:val="pt-BR"/>
        </w:rPr>
        <w:t xml:space="preserve"> e </w:t>
      </w:r>
      <w:r w:rsidR="00860792" w:rsidRPr="004D5EBF">
        <w:rPr>
          <w:position w:val="-30"/>
          <w:lang w:val="pt-BR"/>
        </w:rPr>
        <w:object w:dxaOrig="2720" w:dyaOrig="720">
          <v:shape id="_x0000_i1030" type="#_x0000_t75" style="width:135.5pt;height:36pt">
            <v:imagedata r:id="rId9" o:title=""/>
          </v:shape>
        </w:object>
      </w:r>
      <w:r w:rsidR="00860792">
        <w:rPr>
          <w:lang w:val="pt-BR"/>
        </w:rPr>
        <w:t xml:space="preserve">. </w:t>
      </w:r>
    </w:p>
    <w:p w:rsidR="00860792" w:rsidRDefault="00860792" w:rsidP="0021196C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Refazer o exercício (</w:t>
      </w:r>
      <w:r w:rsidR="00482BD6">
        <w:rPr>
          <w:lang w:val="pt-BR"/>
        </w:rPr>
        <w:t>6</w:t>
      </w:r>
      <w:r>
        <w:rPr>
          <w:lang w:val="pt-BR"/>
        </w:rPr>
        <w:t xml:space="preserve">) mas agora através do teorema da convolução </w:t>
      </w:r>
      <w:r w:rsidRPr="0095571E">
        <w:rPr>
          <w:rFonts w:asciiTheme="minorHAnsi" w:eastAsiaTheme="minorHAnsi" w:hAnsiTheme="minorHAnsi" w:cstheme="minorBidi"/>
          <w:position w:val="-16"/>
          <w:sz w:val="22"/>
          <w:szCs w:val="22"/>
          <w:lang w:val="pt-BR"/>
        </w:rPr>
        <w:object w:dxaOrig="3060" w:dyaOrig="440">
          <v:shape id="_x0000_i1031" type="#_x0000_t75" style="width:153pt;height:22pt">
            <v:imagedata r:id="rId10" o:title=""/>
          </v:shape>
        </w:object>
      </w:r>
      <w:r>
        <w:rPr>
          <w:lang w:val="pt-BR"/>
        </w:rPr>
        <w:t>extraindo as transformadas direta e inversa por DFT de multiplicação de matrizes.</w:t>
      </w:r>
    </w:p>
    <w:p w:rsidR="00A1047C" w:rsidRDefault="00571658" w:rsidP="0021196C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Teorema Central do Limite</w:t>
      </w:r>
      <w:r w:rsidR="00E41DEF">
        <w:rPr>
          <w:lang w:val="pt-BR"/>
        </w:rPr>
        <w:t xml:space="preserve"> [TLC]</w:t>
      </w:r>
      <w:r>
        <w:rPr>
          <w:lang w:val="pt-BR"/>
        </w:rPr>
        <w:t>:</w:t>
      </w:r>
      <w:r w:rsidR="00E41DEF">
        <w:rPr>
          <w:lang w:val="pt-BR"/>
        </w:rPr>
        <w:t xml:space="preserve"> a distribuição Gama </w:t>
      </w:r>
      <w:r w:rsidR="00E41DEF" w:rsidRPr="00E41DEF">
        <w:rPr>
          <w:position w:val="-14"/>
          <w:lang w:val="pt-BR"/>
        </w:rPr>
        <w:object w:dxaOrig="1480" w:dyaOrig="400">
          <v:shape id="_x0000_i1032" type="#_x0000_t75" style="width:74pt;height:20pt">
            <v:imagedata r:id="rId11" o:title=""/>
          </v:shape>
        </w:object>
      </w:r>
      <w:r w:rsidR="00E41DEF">
        <w:rPr>
          <w:lang w:val="pt-BR"/>
        </w:rPr>
        <w:t xml:space="preserve">  é especialmente adequada para observar o comportamento do TLC, pois como sua função característica é dada por </w:t>
      </w:r>
      <w:r w:rsidR="00E41DEF" w:rsidRPr="00593982">
        <w:rPr>
          <w:rFonts w:asciiTheme="minorHAnsi" w:eastAsiaTheme="minorHAnsi" w:hAnsiTheme="minorHAnsi" w:cstheme="minorHAnsi"/>
          <w:position w:val="-14"/>
          <w:sz w:val="22"/>
          <w:szCs w:val="22"/>
        </w:rPr>
        <w:object w:dxaOrig="2079" w:dyaOrig="440">
          <v:shape id="_x0000_i1033" type="#_x0000_t75" style="width:92pt;height:19.5pt">
            <v:imagedata r:id="rId12" o:title=""/>
          </v:shape>
        </w:object>
      </w:r>
      <w:r w:rsidR="00E41DEF">
        <w:rPr>
          <w:lang w:val="pt-BR"/>
        </w:rPr>
        <w:t xml:space="preserve"> , com </w:t>
      </w:r>
      <w:r w:rsidR="00E41DEF" w:rsidRPr="00E41DEF">
        <w:rPr>
          <w:rFonts w:asciiTheme="minorHAnsi" w:eastAsiaTheme="minorHAnsi" w:hAnsiTheme="minorHAnsi" w:cstheme="minorHAnsi"/>
          <w:position w:val="-14"/>
          <w:sz w:val="22"/>
          <w:szCs w:val="22"/>
        </w:rPr>
        <w:object w:dxaOrig="1920" w:dyaOrig="400">
          <v:shape id="_x0000_i1034" type="#_x0000_t75" style="width:85.5pt;height:17.5pt">
            <v:imagedata r:id="rId13" o:title=""/>
          </v:shape>
        </w:object>
      </w:r>
      <w:r w:rsidR="00E41DEF">
        <w:rPr>
          <w:lang w:val="pt-BR"/>
        </w:rPr>
        <w:t xml:space="preserve">e </w:t>
      </w:r>
      <w:r w:rsidR="00E41DEF" w:rsidRPr="00E41DEF">
        <w:rPr>
          <w:rFonts w:asciiTheme="minorHAnsi" w:eastAsiaTheme="minorHAnsi" w:hAnsiTheme="minorHAnsi" w:cstheme="minorHAnsi"/>
          <w:position w:val="-10"/>
          <w:sz w:val="22"/>
          <w:szCs w:val="22"/>
        </w:rPr>
        <w:object w:dxaOrig="960" w:dyaOrig="360">
          <v:shape id="_x0000_i1035" type="#_x0000_t75" style="width:42.5pt;height:16.5pt">
            <v:imagedata r:id="rId14" o:title=""/>
          </v:shape>
        </w:object>
      </w:r>
      <w:r w:rsidR="0018294B">
        <w:rPr>
          <w:lang w:val="pt-BR"/>
        </w:rPr>
        <w:t xml:space="preserve">, </w:t>
      </w:r>
      <w:r w:rsidR="00E41DEF">
        <w:rPr>
          <w:lang w:val="pt-BR"/>
        </w:rPr>
        <w:t xml:space="preserve">a função característica de </w:t>
      </w:r>
      <w:r w:rsidR="00A1047C" w:rsidRPr="00E41DEF">
        <w:rPr>
          <w:position w:val="-12"/>
          <w:lang w:val="pt-BR"/>
        </w:rPr>
        <w:object w:dxaOrig="1860" w:dyaOrig="360">
          <v:shape id="_x0000_i1036" type="#_x0000_t75" style="width:93pt;height:18pt">
            <v:imagedata r:id="rId15" o:title=""/>
          </v:shape>
        </w:object>
      </w:r>
      <w:r w:rsidR="00E41DEF">
        <w:rPr>
          <w:lang w:val="pt-BR"/>
        </w:rPr>
        <w:t xml:space="preserve">, com as v.a. </w:t>
      </w:r>
      <w:r w:rsidR="00E41DEF" w:rsidRPr="00E41DEF">
        <w:rPr>
          <w:position w:val="-12"/>
          <w:lang w:val="pt-BR"/>
        </w:rPr>
        <w:object w:dxaOrig="240" w:dyaOrig="360">
          <v:shape id="_x0000_i1037" type="#_x0000_t75" style="width:12pt;height:18pt">
            <v:imagedata r:id="rId16" o:title=""/>
          </v:shape>
        </w:object>
      </w:r>
      <w:r w:rsidR="00E41DEF">
        <w:rPr>
          <w:lang w:val="pt-BR"/>
        </w:rPr>
        <w:t xml:space="preserve"> idênticas, independentes que seguem uma distribuição </w:t>
      </w:r>
      <w:r w:rsidR="00E41DEF" w:rsidRPr="00E41DEF">
        <w:rPr>
          <w:position w:val="-14"/>
          <w:lang w:val="pt-BR"/>
        </w:rPr>
        <w:object w:dxaOrig="1480" w:dyaOrig="400">
          <v:shape id="_x0000_i1038" type="#_x0000_t75" style="width:74pt;height:20pt">
            <v:imagedata r:id="rId11" o:title=""/>
          </v:shape>
        </w:object>
      </w:r>
      <w:r w:rsidR="0018294B">
        <w:rPr>
          <w:lang w:val="pt-BR"/>
        </w:rPr>
        <w:t xml:space="preserve">, </w:t>
      </w:r>
      <w:r w:rsidR="00E41DEF">
        <w:rPr>
          <w:lang w:val="pt-BR"/>
        </w:rPr>
        <w:t xml:space="preserve">é dada por </w:t>
      </w:r>
      <w:r w:rsidR="00A1047C" w:rsidRPr="00593982">
        <w:rPr>
          <w:rFonts w:asciiTheme="minorHAnsi" w:eastAsiaTheme="minorHAnsi" w:hAnsiTheme="minorHAnsi" w:cstheme="minorHAnsi"/>
          <w:position w:val="-14"/>
          <w:sz w:val="22"/>
          <w:szCs w:val="22"/>
        </w:rPr>
        <w:object w:dxaOrig="2220" w:dyaOrig="440">
          <v:shape id="_x0000_i1039" type="#_x0000_t75" style="width:98.5pt;height:19.5pt">
            <v:imagedata r:id="rId17" o:title=""/>
          </v:shape>
        </w:object>
      </w:r>
      <w:r w:rsidR="00E41DEF">
        <w:rPr>
          <w:lang w:val="pt-BR"/>
        </w:rPr>
        <w:t xml:space="preserve">, ou seja, segue uma distribuição </w:t>
      </w:r>
      <w:r w:rsidR="00A1047C" w:rsidRPr="00E41DEF">
        <w:rPr>
          <w:position w:val="-14"/>
          <w:lang w:val="pt-BR"/>
        </w:rPr>
        <w:object w:dxaOrig="1700" w:dyaOrig="400">
          <v:shape id="_x0000_i1040" type="#_x0000_t75" style="width:85pt;height:20pt">
            <v:imagedata r:id="rId18" o:title=""/>
          </v:shape>
        </w:object>
      </w:r>
      <w:r w:rsidR="00E41DEF">
        <w:rPr>
          <w:lang w:val="pt-BR"/>
        </w:rPr>
        <w:t xml:space="preserve">. </w:t>
      </w:r>
      <w:r w:rsidR="00A1047C">
        <w:rPr>
          <w:lang w:val="pt-BR"/>
        </w:rPr>
        <w:t xml:space="preserve">Vamos comparar a distribuição real de v.a. </w:t>
      </w:r>
      <w:r w:rsidR="00A1047C" w:rsidRPr="00A1047C">
        <w:rPr>
          <w:position w:val="-4"/>
          <w:lang w:val="pt-BR"/>
        </w:rPr>
        <w:object w:dxaOrig="200" w:dyaOrig="200">
          <v:shape id="_x0000_i1041" type="#_x0000_t75" style="width:10pt;height:10pt">
            <v:imagedata r:id="rId19" o:title=""/>
          </v:shape>
        </w:object>
      </w:r>
      <w:r w:rsidR="00A1047C">
        <w:rPr>
          <w:lang w:val="pt-BR"/>
        </w:rPr>
        <w:t xml:space="preserve"> com a distribuição Normal </w:t>
      </w:r>
      <w:r w:rsidR="00A1047C" w:rsidRPr="00A1047C">
        <w:rPr>
          <w:position w:val="-14"/>
          <w:lang w:val="pt-BR"/>
        </w:rPr>
        <w:object w:dxaOrig="1100" w:dyaOrig="400">
          <v:shape id="_x0000_i1042" type="#_x0000_t75" style="width:55pt;height:20pt">
            <v:imagedata r:id="rId20" o:title=""/>
          </v:shape>
        </w:object>
      </w:r>
      <w:r w:rsidR="00A1047C">
        <w:rPr>
          <w:lang w:val="pt-BR"/>
        </w:rPr>
        <w:t xml:space="preserve"> em função de</w:t>
      </w:r>
      <w:r w:rsidR="00A1047C" w:rsidRPr="00A1047C">
        <w:rPr>
          <w:position w:val="-6"/>
          <w:lang w:val="pt-BR"/>
        </w:rPr>
        <w:object w:dxaOrig="200" w:dyaOrig="279">
          <v:shape id="_x0000_i1043" type="#_x0000_t75" style="width:10pt;height:14pt">
            <v:imagedata r:id="rId21" o:title=""/>
          </v:shape>
        </w:object>
      </w:r>
      <w:r w:rsidR="00A1047C">
        <w:rPr>
          <w:lang w:val="pt-BR"/>
        </w:rPr>
        <w:t xml:space="preserve"> para observar o processo de convergência do TLC. Seja a distribuição de </w:t>
      </w:r>
      <w:r w:rsidR="00A1047C" w:rsidRPr="00A1047C">
        <w:rPr>
          <w:position w:val="-12"/>
          <w:lang w:val="pt-BR"/>
        </w:rPr>
        <w:object w:dxaOrig="240" w:dyaOrig="360">
          <v:shape id="_x0000_i1044" type="#_x0000_t75" style="width:12pt;height:18pt">
            <v:imagedata r:id="rId22" o:title=""/>
          </v:shape>
        </w:object>
      </w:r>
      <w:r w:rsidR="00A1047C">
        <w:rPr>
          <w:lang w:val="pt-BR"/>
        </w:rPr>
        <w:t xml:space="preserve"> uma </w:t>
      </w:r>
      <w:r w:rsidR="00A1047C" w:rsidRPr="00A1047C">
        <w:rPr>
          <w:position w:val="-14"/>
          <w:lang w:val="pt-BR"/>
        </w:rPr>
        <w:object w:dxaOrig="1380" w:dyaOrig="400">
          <v:shape id="_x0000_i1045" type="#_x0000_t75" style="width:69pt;height:20pt">
            <v:imagedata r:id="rId23" o:title=""/>
          </v:shape>
        </w:object>
      </w:r>
      <w:r w:rsidR="00A1047C">
        <w:rPr>
          <w:lang w:val="pt-BR"/>
        </w:rPr>
        <w:t xml:space="preserve">. Escolha </w:t>
      </w:r>
      <w:r w:rsidR="00A1047C" w:rsidRPr="00A1047C">
        <w:rPr>
          <w:position w:val="-12"/>
          <w:lang w:val="pt-BR"/>
        </w:rPr>
        <w:object w:dxaOrig="260" w:dyaOrig="360">
          <v:shape id="_x0000_i1046" type="#_x0000_t75" style="width:13pt;height:18pt">
            <v:imagedata r:id="rId24" o:title=""/>
          </v:shape>
        </w:object>
      </w:r>
      <w:r w:rsidR="00A1047C">
        <w:rPr>
          <w:lang w:val="pt-BR"/>
        </w:rPr>
        <w:t xml:space="preserve"> para que </w:t>
      </w:r>
      <w:r w:rsidR="00A1047C" w:rsidRPr="00E41DEF">
        <w:rPr>
          <w:rFonts w:asciiTheme="minorHAnsi" w:eastAsiaTheme="minorHAnsi" w:hAnsiTheme="minorHAnsi" w:cstheme="minorHAnsi"/>
          <w:position w:val="-14"/>
          <w:sz w:val="22"/>
          <w:szCs w:val="22"/>
        </w:rPr>
        <w:object w:dxaOrig="900" w:dyaOrig="400">
          <v:shape id="_x0000_i1047" type="#_x0000_t75" style="width:40pt;height:17.5pt">
            <v:imagedata r:id="rId25" o:title=""/>
          </v:shape>
        </w:object>
      </w:r>
      <w:r w:rsidR="00A1047C">
        <w:rPr>
          <w:lang w:val="pt-BR"/>
        </w:rPr>
        <w:t xml:space="preserve">. Faça um gráfico contendo a função densidade de probabilidade da distribuição da v.a. </w:t>
      </w:r>
      <w:r w:rsidR="00A1047C" w:rsidRPr="00A1047C">
        <w:rPr>
          <w:position w:val="-4"/>
          <w:lang w:val="pt-BR"/>
        </w:rPr>
        <w:object w:dxaOrig="200" w:dyaOrig="200">
          <v:shape id="_x0000_i1048" type="#_x0000_t75" style="width:10pt;height:10pt">
            <v:imagedata r:id="rId26" o:title=""/>
          </v:shape>
        </w:object>
      </w:r>
      <w:r w:rsidR="00A1047C">
        <w:rPr>
          <w:lang w:val="pt-BR"/>
        </w:rPr>
        <w:t xml:space="preserve"> para </w:t>
      </w:r>
      <w:r w:rsidR="00A1047C" w:rsidRPr="00A1047C">
        <w:rPr>
          <w:position w:val="-6"/>
          <w:lang w:val="pt-BR"/>
        </w:rPr>
        <w:object w:dxaOrig="680" w:dyaOrig="279">
          <v:shape id="_x0000_i1049" type="#_x0000_t75" style="width:34pt;height:14pt">
            <v:imagedata r:id="rId27" o:title=""/>
          </v:shape>
        </w:object>
      </w:r>
      <w:r w:rsidR="00A1047C">
        <w:rPr>
          <w:lang w:val="pt-BR"/>
        </w:rPr>
        <w:t xml:space="preserve"> e da fdp da Normal à qual ela deve convergir. Use a escala log na ordenada para comparar o comportamento das duas nas caudas, i.e., para valores muito grandes de </w:t>
      </w:r>
      <w:r w:rsidR="00A1047C" w:rsidRPr="00A1047C">
        <w:rPr>
          <w:position w:val="-6"/>
          <w:lang w:val="pt-BR"/>
        </w:rPr>
        <w:object w:dxaOrig="200" w:dyaOrig="220">
          <v:shape id="_x0000_i1050" type="#_x0000_t75" style="width:10pt;height:11pt">
            <v:imagedata r:id="rId28" o:title=""/>
          </v:shape>
        </w:object>
      </w:r>
      <w:r w:rsidR="00A1047C">
        <w:rPr>
          <w:lang w:val="pt-BR"/>
        </w:rPr>
        <w:t>.</w:t>
      </w:r>
    </w:p>
    <w:sectPr w:rsidR="00A1047C" w:rsidSect="00D9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620"/>
    <w:multiLevelType w:val="hybridMultilevel"/>
    <w:tmpl w:val="A9862840"/>
    <w:lvl w:ilvl="0" w:tplc="BB5C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C6727"/>
    <w:multiLevelType w:val="hybridMultilevel"/>
    <w:tmpl w:val="D73472E6"/>
    <w:lvl w:ilvl="0" w:tplc="D30643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</w:rPr>
    </w:lvl>
    <w:lvl w:ilvl="1" w:tplc="CB02B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25EBD"/>
    <w:multiLevelType w:val="hybridMultilevel"/>
    <w:tmpl w:val="01243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C801B6"/>
    <w:multiLevelType w:val="hybridMultilevel"/>
    <w:tmpl w:val="AA306DC2"/>
    <w:lvl w:ilvl="0" w:tplc="86C00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36D37"/>
    <w:multiLevelType w:val="hybridMultilevel"/>
    <w:tmpl w:val="338A8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E4BF2"/>
    <w:multiLevelType w:val="hybridMultilevel"/>
    <w:tmpl w:val="3B687A08"/>
    <w:lvl w:ilvl="0" w:tplc="11B6C7B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AA7683"/>
    <w:rsid w:val="000171E8"/>
    <w:rsid w:val="00020D3E"/>
    <w:rsid w:val="00023EFF"/>
    <w:rsid w:val="00045183"/>
    <w:rsid w:val="00053835"/>
    <w:rsid w:val="00055BB3"/>
    <w:rsid w:val="00073EDA"/>
    <w:rsid w:val="000C6480"/>
    <w:rsid w:val="000E1D4E"/>
    <w:rsid w:val="000E63B1"/>
    <w:rsid w:val="00107C84"/>
    <w:rsid w:val="00130ADC"/>
    <w:rsid w:val="0014634F"/>
    <w:rsid w:val="0018294B"/>
    <w:rsid w:val="0021196C"/>
    <w:rsid w:val="00241CC3"/>
    <w:rsid w:val="00263A9A"/>
    <w:rsid w:val="002A6184"/>
    <w:rsid w:val="002B43BC"/>
    <w:rsid w:val="002F11E1"/>
    <w:rsid w:val="002F249F"/>
    <w:rsid w:val="00303CEC"/>
    <w:rsid w:val="00350C53"/>
    <w:rsid w:val="00362074"/>
    <w:rsid w:val="00366FDC"/>
    <w:rsid w:val="003B0840"/>
    <w:rsid w:val="003C697B"/>
    <w:rsid w:val="003D59D7"/>
    <w:rsid w:val="003F33E0"/>
    <w:rsid w:val="00420305"/>
    <w:rsid w:val="0042684B"/>
    <w:rsid w:val="0047088C"/>
    <w:rsid w:val="00476C79"/>
    <w:rsid w:val="00482BD6"/>
    <w:rsid w:val="004D5EBF"/>
    <w:rsid w:val="0053448D"/>
    <w:rsid w:val="00566B2E"/>
    <w:rsid w:val="0056760F"/>
    <w:rsid w:val="00571658"/>
    <w:rsid w:val="00573FA2"/>
    <w:rsid w:val="00593982"/>
    <w:rsid w:val="005C7D5B"/>
    <w:rsid w:val="005E0819"/>
    <w:rsid w:val="00650804"/>
    <w:rsid w:val="00654079"/>
    <w:rsid w:val="006B31BF"/>
    <w:rsid w:val="006C17D4"/>
    <w:rsid w:val="006E27B3"/>
    <w:rsid w:val="00701977"/>
    <w:rsid w:val="00733A82"/>
    <w:rsid w:val="0079458D"/>
    <w:rsid w:val="0081165E"/>
    <w:rsid w:val="008212BE"/>
    <w:rsid w:val="00824178"/>
    <w:rsid w:val="00852D77"/>
    <w:rsid w:val="00860792"/>
    <w:rsid w:val="008946D4"/>
    <w:rsid w:val="008A6C56"/>
    <w:rsid w:val="008F0223"/>
    <w:rsid w:val="00904A78"/>
    <w:rsid w:val="009268B1"/>
    <w:rsid w:val="0095571E"/>
    <w:rsid w:val="0097046A"/>
    <w:rsid w:val="00975B04"/>
    <w:rsid w:val="009E6E0A"/>
    <w:rsid w:val="00A0467C"/>
    <w:rsid w:val="00A05A98"/>
    <w:rsid w:val="00A1047C"/>
    <w:rsid w:val="00A44792"/>
    <w:rsid w:val="00A579BB"/>
    <w:rsid w:val="00AA7683"/>
    <w:rsid w:val="00AC0DF8"/>
    <w:rsid w:val="00AC259B"/>
    <w:rsid w:val="00AC6F43"/>
    <w:rsid w:val="00B413BA"/>
    <w:rsid w:val="00B62020"/>
    <w:rsid w:val="00B662E7"/>
    <w:rsid w:val="00B94274"/>
    <w:rsid w:val="00BD0056"/>
    <w:rsid w:val="00BE6F86"/>
    <w:rsid w:val="00BF776E"/>
    <w:rsid w:val="00C2353F"/>
    <w:rsid w:val="00C23CD2"/>
    <w:rsid w:val="00C47872"/>
    <w:rsid w:val="00C53B3E"/>
    <w:rsid w:val="00CF2272"/>
    <w:rsid w:val="00D07549"/>
    <w:rsid w:val="00D15DB3"/>
    <w:rsid w:val="00D16A43"/>
    <w:rsid w:val="00D3244D"/>
    <w:rsid w:val="00D84259"/>
    <w:rsid w:val="00D96223"/>
    <w:rsid w:val="00DB1AEC"/>
    <w:rsid w:val="00DB26D6"/>
    <w:rsid w:val="00E01B07"/>
    <w:rsid w:val="00E26EF9"/>
    <w:rsid w:val="00E41DEF"/>
    <w:rsid w:val="00F2261D"/>
    <w:rsid w:val="00F24A5D"/>
    <w:rsid w:val="00F32FE9"/>
    <w:rsid w:val="00FC41F2"/>
    <w:rsid w:val="00FC4A70"/>
    <w:rsid w:val="00FD6FD8"/>
    <w:rsid w:val="00FE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A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Métodos Quantitativos em Economia Financeira ECO-219</vt:lpstr>
    </vt:vector>
  </TitlesOfParts>
  <Company>Unicamp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Métodos Quantitativos em Economia Financeira ECO-219</dc:title>
  <dc:creator>Carlos Lenz Cesar</dc:creator>
  <cp:lastModifiedBy>Hugo</cp:lastModifiedBy>
  <cp:revision>3</cp:revision>
  <dcterms:created xsi:type="dcterms:W3CDTF">2013-06-06T22:12:00Z</dcterms:created>
  <dcterms:modified xsi:type="dcterms:W3CDTF">2013-06-06T22:16:00Z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