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media/image36.jpeg" ContentType="image/jpeg"/>
  <Override PartName="/word/media/image33.jpeg" ContentType="image/jpeg"/>
  <Override PartName="/word/media/image32.jpeg" ContentType="image/jpeg"/>
  <Override PartName="/word/media/image35.jpeg" ContentType="image/jpeg"/>
  <Override PartName="/word/media/image30.jpeg" ContentType="image/jpeg"/>
  <Override PartName="/word/media/image27.jpeg" ContentType="image/jpeg"/>
  <Override PartName="/word/media/image26.jpeg" ContentType="image/jpeg"/>
  <Override PartName="/word/media/image28.jpeg" ContentType="image/jpeg"/>
  <Override PartName="/word/media/image34.png" ContentType="image/png"/>
  <Override PartName="/word/media/image22.jpeg" ContentType="image/jpeg"/>
  <Override PartName="/word/media/image31.jpeg" ContentType="image/jpeg"/>
  <Override PartName="/word/media/image21.jpeg" ContentType="image/jpeg"/>
  <Override PartName="/word/media/image23.jpeg" ContentType="image/jpeg"/>
  <Override PartName="/word/media/image20.png" ContentType="image/png"/>
  <Override PartName="/word/media/image29.jpeg" ContentType="image/jpeg"/>
  <Override PartName="/word/media/image19.png" ContentType="image/png"/>
  <Override PartName="/word/media/image18.jpeg" ContentType="image/jpeg"/>
  <Override PartName="/word/styles.xml" ContentType="application/vnd.openxmlformats-officedocument.wordprocessingml.styles+xml"/>
  <Override PartName="/word/footer2.xml" ContentType="application/vnd.openxmlformats-officedocument.wordprocessingml.footer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background w:color="FFFFFF"/>
  <w:body>
    <w:p>
      <w:pPr>
        <w:pStyle w:val="Normal"/>
        <w:spacing w:before="0" w:after="0"/>
        <w:jc w:val="center"/>
        <w:rPr>
          <w:sz w:val="45"/>
          <w:szCs w:val="45"/>
        </w:rPr>
      </w:pPr>
      <w:r>
        <w:rPr>
          <w:sz w:val="45"/>
          <w:szCs w:val="45"/>
        </w:rPr>
        <w:t>Universidade Estadual de Campinas</w:t>
      </w:r>
    </w:p>
    <w:p>
      <w:pPr>
        <w:pStyle w:val="Normal"/>
        <w:spacing w:before="0" w:after="0"/>
        <w:jc w:val="center"/>
        <w:rPr>
          <w:sz w:val="35"/>
          <w:szCs w:val="35"/>
        </w:rPr>
      </w:pPr>
      <w:r>
        <w:rPr>
          <w:sz w:val="35"/>
          <w:szCs w:val="35"/>
        </w:rPr>
        <w:t>Instituto de Física Gleb Wataghin – IFGW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left"/>
        <w:rPr/>
      </w:pPr>
      <w:r>
        <w:rPr/>
      </w:r>
    </w:p>
    <w:p>
      <w:pPr>
        <w:pStyle w:val="Normal"/>
        <w:spacing w:before="0" w:after="0"/>
        <w:jc w:val="center"/>
        <w:rPr>
          <w:sz w:val="60"/>
          <w:szCs w:val="60"/>
        </w:rPr>
      </w:pPr>
      <w:r>
        <w:rPr>
          <w:sz w:val="60"/>
          <w:szCs w:val="60"/>
        </w:rPr>
        <w:t xml:space="preserve">Relatório Final </w:t>
      </w:r>
    </w:p>
    <w:p>
      <w:pPr>
        <w:pStyle w:val="Normal"/>
        <w:spacing w:before="0" w:after="0"/>
        <w:jc w:val="center"/>
        <w:rPr/>
      </w:pPr>
      <w:r>
        <w:rPr/>
      </w:r>
    </w:p>
    <w:p>
      <w:pPr>
        <w:pStyle w:val="Normal"/>
        <w:spacing w:before="0" w:after="0"/>
        <w:jc w:val="center"/>
        <w:rPr>
          <w:sz w:val="48"/>
          <w:szCs w:val="48"/>
        </w:rPr>
      </w:pPr>
      <w:r>
        <w:rPr>
          <w:sz w:val="48"/>
          <w:szCs w:val="48"/>
        </w:rPr>
        <w:t>Projeto: Geração e Caracterização de Holoimagens em Fotopolímeros</w:t>
      </w:r>
    </w:p>
    <w:p>
      <w:pPr>
        <w:pStyle w:val="Normal"/>
        <w:spacing w:before="0" w:after="0"/>
        <w:jc w:val="left"/>
        <w:rPr/>
      </w:pPr>
      <w:r>
        <w:rPr/>
      </w:r>
    </w:p>
    <w:p>
      <w:pPr>
        <w:pStyle w:val="Normal"/>
        <w:spacing w:before="0" w:after="0"/>
        <w:rPr>
          <w:sz w:val="48"/>
          <w:szCs w:val="48"/>
        </w:rPr>
      </w:pPr>
      <w:r>
        <w:rPr/>
        <w:drawing>
          <wp:inline distT="114300" distB="114300" distL="114300" distR="114300">
            <wp:extent cx="1823085" cy="1938020"/>
            <wp:effectExtent l="0" t="0" r="0" b="0"/>
            <wp:docPr id="0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rcRect l="0" t="21749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085" cy="193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48"/>
          <w:szCs w:val="48"/>
        </w:rPr>
        <w:tab/>
        <w:tab/>
        <w:tab/>
      </w:r>
      <w:r>
        <w:rPr>
          <w:sz w:val="48"/>
          <w:szCs w:val="48"/>
        </w:rPr>
        <w:drawing>
          <wp:inline distT="114300" distB="114300" distL="114300" distR="114300">
            <wp:extent cx="2047875" cy="1914525"/>
            <wp:effectExtent l="0" t="0" r="0" b="0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rcRect l="0" t="2424" r="2705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Aluno:</w:t>
        <w:tab/>
        <w:tab/>
        <w:tab/>
        <w:tab/>
        <w:tab/>
        <w:tab/>
        <w:tab/>
        <w:t xml:space="preserve">Orientador: </w:t>
        <w:tab/>
        <w:tab/>
        <w:tab/>
        <w:tab/>
        <w:t>Kenji Suzuki Ynagaki</w:t>
        <w:tab/>
        <w:tab/>
        <w:tab/>
        <w:tab/>
        <w:t>Prof. Jose Joaquin Lunazzi</w:t>
      </w:r>
    </w:p>
    <w:p>
      <w:pPr>
        <w:pStyle w:val="Normal"/>
        <w:spacing w:before="0" w:after="0"/>
        <w:rPr>
          <w:sz w:val="24"/>
          <w:szCs w:val="24"/>
        </w:rPr>
      </w:pPr>
      <w:r>
        <w:rPr>
          <w:sz w:val="24"/>
          <w:szCs w:val="24"/>
        </w:rPr>
        <w:t>k081855(arroba)dac.unicamp.br</w:t>
        <w:tab/>
        <w:tab/>
        <w:tab/>
        <w:t>lunazzi(arroba)ifi.unicamp.br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center"/>
        <w:rPr/>
      </w:pPr>
      <w:r>
        <w:rPr/>
      </w:r>
    </w:p>
    <w:p>
      <w:pPr>
        <w:pStyle w:val="Normal"/>
        <w:spacing w:before="0" w:after="0"/>
        <w:ind w:left="720" w:right="0" w:firstLine="720"/>
        <w:jc w:val="left"/>
        <w:rPr>
          <w:sz w:val="36"/>
          <w:szCs w:val="36"/>
        </w:rPr>
      </w:pPr>
      <w:r>
        <w:rPr>
          <w:sz w:val="36"/>
          <w:szCs w:val="36"/>
        </w:rPr>
        <w:t>Coordenador: Professor Jun Takahashi</w:t>
      </w:r>
    </w:p>
    <w:p>
      <w:pPr>
        <w:pStyle w:val="Normal"/>
        <w:spacing w:before="0" w:after="0"/>
        <w:jc w:val="center"/>
        <w:rPr>
          <w:sz w:val="45"/>
          <w:szCs w:val="45"/>
        </w:rPr>
      </w:pPr>
      <w:r>
        <w:rPr>
          <w:sz w:val="45"/>
          <w:szCs w:val="45"/>
        </w:rPr>
        <w:t>F 590 - Iniciação Científica I</w:t>
      </w:r>
    </w:p>
    <w:p>
      <w:pPr>
        <w:pStyle w:val="Normal"/>
        <w:spacing w:before="0" w:after="0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versão: 27 de </w:t>
      </w:r>
      <w:r>
        <w:rPr>
          <w:sz w:val="28"/>
          <w:szCs w:val="28"/>
        </w:rPr>
        <w:t>Julho - 2016</w:t>
      </w:r>
    </w:p>
    <w:p>
      <w:pPr>
        <w:pStyle w:val="Normal"/>
        <w:spacing w:before="0" w:after="0"/>
        <w:jc w:val="left"/>
        <w:rPr/>
      </w:pPr>
      <w:r>
        <w:rPr/>
      </w:r>
    </w:p>
    <w:p>
      <w:pPr>
        <w:pStyle w:val="Normal"/>
        <w:spacing w:before="0" w:after="0"/>
        <w:jc w:val="left"/>
        <w:rPr>
          <w:b/>
          <w:sz w:val="45"/>
          <w:szCs w:val="45"/>
        </w:rPr>
      </w:pPr>
      <w:r>
        <w:rPr>
          <w:b/>
          <w:sz w:val="45"/>
          <w:szCs w:val="45"/>
        </w:rPr>
        <w:t>Resumo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ind w:left="0" w:righ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Esse trabalho de Iniciação Científica possui o objetivo de explorar métodos experimentais para a geração e caracterização de holoimagens em fotopolímeros. O projeto inicial consistia de utilizar filmes nacionais fotossensíveis para a produção das holoimagens, geradas pela exposição em luz branca. Entretanto, encontramos dificuldade de registrar qualquer espécie de espectro em filmes fotossensíveis nacionais, o que nos obrigou a procurar outro tipo de material (placas fotossensíveis estrangeiras) posteriormente exploradas, que ofereceram melhores resultados para a geração de registros. A caracterização deles é feita através da observação da relação entre a distância do objeto com a largura do espectro de difração encontrado. Sua importância se dá no fato da capacidade de registrar em uma placa de duas dimensões uma imagem com três dimensões, colorida e sem a necessidade de equipamentos ópticos (óculos 3D). 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Normal"/>
        <w:spacing w:lineRule="auto" w:line="276" w:before="0" w:after="0"/>
        <w:rPr>
          <w:b/>
          <w:sz w:val="34"/>
          <w:szCs w:val="34"/>
        </w:rPr>
      </w:pPr>
      <w:r>
        <w:rPr>
          <w:b/>
          <w:sz w:val="34"/>
          <w:szCs w:val="34"/>
        </w:rPr>
        <w:t>Método Experimental e Resultados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Etapa 1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Primeiramente, foi necessário um estudo na teoria sobre trabalhos predecessores relacionados ao projeto, incluindo o teste de alguns materiais cuja validade era desconhecida. A primeira montagem a ser trabalhada consistia em uma placa de metal sobre uma câmara de ar, para pneu de bicicleta, a fim de evitar vibrações indesejadas que pudessem interferir no registro da luz. Sobre ela colocamos um suporte para placas, um objeto a ser registrado (no caso um carrinho de brinquedo) e um feixe</w:t>
      </w:r>
      <w:r>
        <w:rPr>
          <w:rStyle w:val="Ncoradanotaderodap"/>
          <w:sz w:val="24"/>
          <w:szCs w:val="24"/>
        </w:rPr>
        <w:footnoteReference w:id="2"/>
      </w:r>
      <w:r>
        <w:rPr>
          <w:sz w:val="24"/>
          <w:szCs w:val="24"/>
        </w:rPr>
        <w:t xml:space="preserve"> disperso de luz vermelha, como pode ser visto na Figura 1 abaixo.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/>
      </w:pPr>
      <w:r>
        <w:rPr/>
        <w:drawing>
          <wp:inline distT="114300" distB="114300" distL="114300" distR="114300">
            <wp:extent cx="3957320" cy="1899920"/>
            <wp:effectExtent l="0" t="0" r="0" b="0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7320" cy="18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76" w:before="0" w:after="0"/>
        <w:jc w:val="both"/>
        <w:rPr>
          <w:b/>
          <w:bCs/>
          <w:i/>
          <w:iCs/>
          <w:sz w:val="20"/>
          <w:szCs w:val="20"/>
        </w:rPr>
      </w:pPr>
      <w:r>
        <w:rPr/>
        <w:t xml:space="preserve">  </w:t>
      </w:r>
      <w:r>
        <w:rPr>
          <w:b/>
          <w:bCs/>
          <w:i/>
          <w:iCs/>
          <w:sz w:val="20"/>
          <w:szCs w:val="20"/>
        </w:rPr>
        <w:t>Figura 1: Experimento</w:t>
      </w:r>
      <w:r>
        <w:rPr>
          <w:rStyle w:val="Ncoradanotaderodap"/>
          <w:b/>
          <w:bCs/>
          <w:i/>
          <w:iCs/>
          <w:sz w:val="20"/>
          <w:szCs w:val="20"/>
        </w:rPr>
        <w:footnoteReference w:id="3"/>
      </w:r>
      <w:r>
        <w:rPr>
          <w:b/>
          <w:bCs/>
          <w:i/>
          <w:iCs/>
          <w:sz w:val="20"/>
          <w:szCs w:val="20"/>
        </w:rPr>
        <w:t xml:space="preserve"> de holografia em fotopolímero, 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O intuito de reproduzir essa montagem era o de testar o método de gravação de imagens holográficas, tal como a durabilidade do material utilizado, já que o mesmo vem sem data de validade. Na Figura 2 podemos ver a qualidade do holograma criado. Se iluminarmos na mesma direção em que o holograma foi feito mas no sentido contrário, obteremos uma imagem holográfica vermelha. Variando a inclinação da iluminação muda-se o comprimento de onda que chega aos nossos olhos, mudando a cor da imagem holográfica.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before="0" w:after="0"/>
        <w:rPr/>
      </w:pPr>
      <w:r>
        <w:rPr/>
        <w:drawing>
          <wp:inline distT="114300" distB="114300" distL="114300" distR="114300">
            <wp:extent cx="3881120" cy="3872865"/>
            <wp:effectExtent l="0" t="0" r="0" b="0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1120" cy="3872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2: Holograma produzido sendo iluminado </w:t>
      </w:r>
      <w:r>
        <w:rPr>
          <w:b/>
          <w:bCs/>
          <w:i/>
          <w:iCs/>
          <w:sz w:val="20"/>
          <w:szCs w:val="20"/>
        </w:rPr>
        <w:t xml:space="preserve">por lanterna </w:t>
      </w:r>
      <w:r>
        <w:rPr>
          <w:b/>
          <w:bCs/>
          <w:i/>
          <w:iCs/>
          <w:sz w:val="20"/>
          <w:szCs w:val="20"/>
        </w:rPr>
        <w:t>em vários ângulos diferentes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O</w:t>
      </w:r>
      <w:r>
        <w:rPr>
          <w:sz w:val="24"/>
          <w:szCs w:val="24"/>
        </w:rPr>
        <w:t xml:space="preserve">s resultados </w:t>
      </w:r>
      <w:r>
        <w:rPr>
          <w:sz w:val="24"/>
          <w:szCs w:val="24"/>
        </w:rPr>
        <w:t>não foram</w:t>
      </w:r>
      <w:r>
        <w:rPr>
          <w:sz w:val="24"/>
          <w:szCs w:val="24"/>
        </w:rPr>
        <w:t xml:space="preserve"> satisfatórios </w:t>
      </w:r>
      <w:r>
        <w:rPr>
          <w:sz w:val="24"/>
          <w:szCs w:val="24"/>
        </w:rPr>
        <w:t xml:space="preserve">pois somente partes aleatórias das placas davam ótimo resultado. 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tbl>
      <w:tblPr>
        <w:tblW w:w="9026" w:type="dxa"/>
        <w:jc w:val="left"/>
        <w:tblInd w:w="0" w:type="dxa"/>
        <w:tblBorders>
          <w:top w:val="nil"/>
          <w:left w:val="nil"/>
          <w:bottom w:val="nil"/>
          <w:insideH w:val="nil"/>
          <w:right w:val="nil"/>
          <w:insideV w:val="nil"/>
        </w:tblBorders>
        <w:tblCellMar>
          <w:top w:w="0" w:type="dxa"/>
          <w:left w:w="0" w:type="dxa"/>
          <w:bottom w:w="0" w:type="dxa"/>
          <w:right w:w="0" w:type="dxa"/>
        </w:tblCellMar>
      </w:tblPr>
      <w:tblGrid>
        <w:gridCol w:w="4513"/>
        <w:gridCol w:w="4513"/>
      </w:tblGrid>
      <w:tr>
        <w:trPr>
          <w:cantSplit w:val="false"/>
        </w:trPr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anchor behindDoc="0" distT="0" distB="0" distL="0" distR="0" simplePos="0" locked="0" layoutInCell="1" allowOverlap="1" relativeHeight="13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2865755" cy="1614170"/>
                  <wp:effectExtent l="0" t="0" r="0" b="0"/>
                  <wp:wrapSquare wrapText="largest"/>
                  <wp:docPr id="4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161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anchor behindDoc="0" distT="0" distB="0" distL="0" distR="0" simplePos="0" locked="0" layoutInCell="1" allowOverlap="1" relativeHeight="14">
                  <wp:simplePos x="0" y="0"/>
                  <wp:positionH relativeFrom="column">
                    <wp:align>center</wp:align>
                  </wp:positionH>
                  <wp:positionV relativeFrom="paragraph">
                    <wp:align>top</wp:align>
                  </wp:positionV>
                  <wp:extent cx="2865755" cy="1618615"/>
                  <wp:effectExtent l="0" t="0" r="0" b="0"/>
                  <wp:wrapSquare wrapText="largest"/>
                  <wp:docPr id="5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1618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>Figura 3: Holograma mostrando defeitos nas placas LitiHolo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Atribuímos isto a ter mais de um ano de recebidas, e não ter indicação alguma de validade junto do material. Pensamos que </w:t>
      </w:r>
      <w:r>
        <w:rPr>
          <w:sz w:val="24"/>
          <w:szCs w:val="24"/>
        </w:rPr>
        <w:t>não poderíamos continuar com el</w:t>
      </w:r>
      <w:r>
        <w:rPr>
          <w:sz w:val="24"/>
          <w:szCs w:val="24"/>
        </w:rPr>
        <w:t>a</w:t>
      </w:r>
      <w:r>
        <w:rPr>
          <w:sz w:val="24"/>
          <w:szCs w:val="24"/>
        </w:rPr>
        <w:t xml:space="preserve">s, </w:t>
      </w:r>
      <w:r>
        <w:rPr>
          <w:sz w:val="24"/>
          <w:szCs w:val="24"/>
        </w:rPr>
        <w:t>para</w:t>
      </w:r>
      <w:r>
        <w:rPr>
          <w:sz w:val="24"/>
          <w:szCs w:val="24"/>
        </w:rPr>
        <w:t xml:space="preserve"> registrar holoimagens</w:t>
      </w:r>
      <w:r>
        <w:rPr>
          <w:rStyle w:val="Ncoradanotaderodap"/>
          <w:sz w:val="24"/>
          <w:szCs w:val="24"/>
        </w:rPr>
        <w:footnoteReference w:id="4"/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>pois teríamos desuniformidade como nos</w:t>
      </w:r>
      <w:r>
        <w:rPr>
          <w:sz w:val="24"/>
          <w:szCs w:val="24"/>
        </w:rPr>
        <w:t xml:space="preserve"> hologramas</w:t>
      </w:r>
      <w:r>
        <w:rPr>
          <w:rStyle w:val="Ncoradanotaderodap"/>
          <w:sz w:val="24"/>
          <w:szCs w:val="24"/>
        </w:rPr>
        <w:footnoteReference w:id="5"/>
      </w:r>
      <w:r>
        <w:rPr>
          <w:sz w:val="24"/>
          <w:szCs w:val="24"/>
        </w:rPr>
        <w:t xml:space="preserve">. Paramos temporariamente de utilizar a placa da marca Litiholo (estrangeira). 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Etapa 2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Após essa etapa concluída, o próximo passo foi o de testar placas fotossensíveis de uma  marca chamada Polygrama (nacional), ainda na mesma montagem. Obtendo resultados semelhantes, concluímos que não é necessário importar placas de outros países para trabalhar com holografia satisfatoriamente. Após essa confiança na marca nacional ter sido estabelecida, chegou a hora de confeccionar novos materiais, para que esses fossem capazes de realizar o registro através do método da fotografia Lippman</w:t>
      </w:r>
      <w:r>
        <w:rPr>
          <w:rStyle w:val="Ncoradanotaderodap"/>
          <w:sz w:val="24"/>
          <w:szCs w:val="24"/>
        </w:rPr>
        <w:footnoteReference w:id="6"/>
      </w:r>
      <w:r>
        <w:rPr>
          <w:sz w:val="24"/>
          <w:szCs w:val="24"/>
        </w:rPr>
        <w:t xml:space="preserve"> utilizando luz branca. O material que fizemos consistia em placas de vidro, como ilustrado na Figura 3, limpas com álcool etílico e isopropílico, onde seriam coladas uma película fotossensível para comprimentos de onda entre 530-633 nm, da Polygrama, como pode ser visto na placa da Figura 4.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tbl>
      <w:tblPr>
        <w:tblW w:w="9026" w:type="dxa"/>
        <w:jc w:val="left"/>
        <w:tblInd w:w="0" w:type="dxa"/>
        <w:tblBorders>
          <w:top w:val="nil"/>
          <w:left w:val="nil"/>
          <w:bottom w:val="nil"/>
          <w:insideH w:val="nil"/>
          <w:right w:val="nil"/>
          <w:insideV w:val="nil"/>
        </w:tblBorders>
        <w:tblCellMar>
          <w:top w:w="0" w:type="dxa"/>
          <w:left w:w="0" w:type="dxa"/>
          <w:bottom w:w="0" w:type="dxa"/>
          <w:right w:w="0" w:type="dxa"/>
        </w:tblCellMar>
      </w:tblPr>
      <w:tblGrid>
        <w:gridCol w:w="4513"/>
        <w:gridCol w:w="4513"/>
      </w:tblGrid>
      <w:tr>
        <w:trPr>
          <w:cantSplit w:val="false"/>
        </w:trPr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inline distT="114300" distB="114300" distL="114300" distR="114300">
                  <wp:extent cx="2722880" cy="1328420"/>
                  <wp:effectExtent l="0" t="0" r="0" b="0"/>
                  <wp:docPr id="6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880" cy="13284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inline distT="114300" distB="114300" distL="114300" distR="114300">
                  <wp:extent cx="2571750" cy="1352550"/>
                  <wp:effectExtent l="0" t="0" r="0" b="0"/>
                  <wp:docPr id="7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</w:t>
      </w:r>
      <w:r>
        <w:rPr>
          <w:b/>
          <w:bCs/>
          <w:i/>
          <w:iCs/>
          <w:sz w:val="20"/>
          <w:szCs w:val="20"/>
        </w:rPr>
        <w:t>4</w:t>
      </w:r>
      <w:r>
        <w:rPr>
          <w:b/>
          <w:bCs/>
          <w:i/>
          <w:iCs/>
          <w:sz w:val="20"/>
          <w:szCs w:val="20"/>
        </w:rPr>
        <w:t xml:space="preserve">: </w:t>
      </w:r>
      <w:r>
        <w:rPr>
          <w:b/>
          <w:bCs/>
          <w:i/>
          <w:iCs/>
          <w:sz w:val="20"/>
          <w:szCs w:val="20"/>
        </w:rPr>
        <w:t xml:space="preserve">(esq.) </w:t>
      </w:r>
      <w:r>
        <w:rPr>
          <w:b/>
          <w:bCs/>
          <w:i/>
          <w:iCs/>
          <w:sz w:val="20"/>
          <w:szCs w:val="20"/>
        </w:rPr>
        <w:t xml:space="preserve">Placa de vidro limpo.                   </w:t>
      </w:r>
      <w:r>
        <w:rPr>
          <w:b/>
          <w:bCs/>
          <w:i/>
          <w:iCs/>
          <w:sz w:val="20"/>
          <w:szCs w:val="20"/>
        </w:rPr>
        <w:t>(dir.)</w:t>
      </w:r>
      <w:r>
        <w:rPr>
          <w:b/>
          <w:bCs/>
          <w:i/>
          <w:iCs/>
          <w:sz w:val="20"/>
          <w:szCs w:val="20"/>
        </w:rPr>
        <w:t xml:space="preserve"> Placa com filme fotossensível </w:t>
      </w:r>
    </w:p>
    <w:p>
      <w:pPr>
        <w:pStyle w:val="Normal"/>
        <w:spacing w:lineRule="auto" w:line="331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Com essas placas o resultado foi inesperadamente </w:t>
      </w:r>
      <w:r>
        <w:rPr>
          <w:sz w:val="24"/>
          <w:szCs w:val="24"/>
        </w:rPr>
        <w:t>negativo</w:t>
      </w:r>
      <w:r>
        <w:rPr>
          <w:sz w:val="24"/>
          <w:szCs w:val="24"/>
        </w:rPr>
        <w:t>, não havendo qualquer registro nas placas. O teste foi feito duas vezes, com placas diferentes e variando-se a face em que era iluminada pelo feixe de laser. Acreditando que a placa não tinha problemas contatamos o produtor para mais informações sobre o filme, descobrindo que a energia necessária para a produção do registro era diferente. Para tanto realizamos várias contas considerando a potência da fonte, tempo de exposição, área de exposição e ângulo de incidência, como pode ser visto abaixo: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Energia necessária para o registro = 20 mJ/cm²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Laser vermelho (638 nm) de potência = 5 mW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Área da placa = 50 cm²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Ângulo de incidência com a placa = 70º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Área efetiva = 50*cos70º cm²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Intensidade = potencia / área = 30 μW/cm²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Calculando quanto tempo devemos expor cada cm² à essa intensidade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Energia = potencia * tempo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tempo = energia/potencia</w:t>
      </w:r>
    </w:p>
    <w:p>
      <w:pPr>
        <w:pStyle w:val="Normal"/>
        <w:spacing w:lineRule="auto" w:line="331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tempo = 20*10^-3 / 30*10^-6 = 2000/3 = 11 minutos aproximadamente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Deixamos 15 minutos, o que não difere muito do fotopolímero, mas mesmo assim obtivemos sucesso no registro desse filme. </w:t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Suspeitando que o filme fotossensível necessitasse de uma intensidade maior, criamos uma nova montagem, com outro laser de mesma potência (5 mW), mas do tipo ponteira, para concentrar mais a intensidade.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lineRule="auto" w:line="276" w:before="0"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Etapa 3</w:t>
      </w:r>
    </w:p>
    <w:p>
      <w:pPr>
        <w:pStyle w:val="Normal"/>
        <w:spacing w:lineRule="auto" w:line="276"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Nessa etapa fizemos uma montagem diferente, com intuito de usar um laser que fornecesse mais energia por unidade de área, associado a uma lente convergente para concentrar o feixe para aumentar a energia fornecida. Como o feixe dessa vez seria concentrado, não haveria como registrar uma imagem holográfica, dado a necessidade do encontro entre dois feixes vindos da mesma fonte, a menos que fizéssemos algumas alterações na montagem.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essa montagem utilizamos uma fonte de laser 5 mW de 638 nm, uma lente convergente, dois espelhos, suportes magnéticos, um semi-espelho, ilustrado na Figura 5, de </w:t>
      </w:r>
      <w:r>
        <w:rPr>
          <w:sz w:val="24"/>
          <w:szCs w:val="24"/>
        </w:rPr>
        <w:t>refletiv</w:t>
      </w:r>
      <w:r>
        <w:rPr>
          <w:sz w:val="24"/>
          <w:szCs w:val="24"/>
        </w:rPr>
        <w:t>idade variável, que refletiria parte da luz permitiria que parte passasse.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/>
      </w:pPr>
      <w:r>
        <w:rPr/>
        <w:drawing>
          <wp:inline distT="114300" distB="114300" distL="114300" distR="114300">
            <wp:extent cx="2160905" cy="1973580"/>
            <wp:effectExtent l="0" t="0" r="0" b="0"/>
            <wp:docPr id="8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13094" t="42359" r="34975" b="14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905" cy="1973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76"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5: Semi-espelho de </w:t>
      </w:r>
      <w:r>
        <w:rPr>
          <w:b/>
          <w:bCs/>
          <w:i/>
          <w:iCs/>
          <w:sz w:val="20"/>
          <w:szCs w:val="20"/>
        </w:rPr>
        <w:t>refletivi</w:t>
      </w:r>
      <w:r>
        <w:rPr>
          <w:b/>
          <w:bCs/>
          <w:i/>
          <w:iCs/>
          <w:sz w:val="20"/>
          <w:szCs w:val="20"/>
        </w:rPr>
        <w:t>dade variável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feixe de luz refratado incidiria num espelho, sendo refletido em outra direção, a fim de encontrar com o feixe que não refratou. O encontro desses feixes de mesma fonte (e consequentemente mesma frequência) causaria uma interferência, objeto de nossa pesquisa para registro de imagens holográficas.  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Normal"/>
        <w:spacing w:lineRule="auto" w:line="276" w:before="0" w:after="0"/>
        <w:rPr>
          <w:sz w:val="24"/>
          <w:szCs w:val="24"/>
        </w:rPr>
      </w:pPr>
      <w:r>
        <w:rPr>
          <w:sz w:val="24"/>
          <w:szCs w:val="24"/>
        </w:rPr>
        <w:t>Os feixes de luz deveriam ser ajustados para incidirem numa mesma posição como pode ser visto nas Figuras 6 e 7 a seguir.</w:t>
      </w:r>
    </w:p>
    <w:p>
      <w:pPr>
        <w:pStyle w:val="Normal"/>
        <w:spacing w:lineRule="auto" w:line="276" w:before="0" w:after="0"/>
        <w:rPr/>
      </w:pPr>
      <w:r>
        <w:rPr/>
        <w:t xml:space="preserve"> </w:t>
      </w:r>
      <w:r>
        <w:rPr/>
        <w:drawing>
          <wp:inline distT="114300" distB="114300" distL="114300" distR="114300">
            <wp:extent cx="2248535" cy="1252220"/>
            <wp:effectExtent l="0" t="0" r="0" b="0"/>
            <wp:docPr id="9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 l="15424" t="48680" r="39103" b="369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8535" cy="1252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t xml:space="preserve">              </w:t>
      </w:r>
      <w:r>
        <w:rPr/>
        <w:drawing>
          <wp:inline distT="114300" distB="114300" distL="114300" distR="114300">
            <wp:extent cx="2185670" cy="1257935"/>
            <wp:effectExtent l="0" t="0" r="0" b="0"/>
            <wp:docPr id="10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34975" t="40879" r="20266" b="442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5670" cy="1257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lineRule="auto" w:line="276"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 </w:t>
      </w:r>
      <w:r>
        <w:rPr>
          <w:b/>
          <w:bCs/>
          <w:i/>
          <w:iCs/>
          <w:sz w:val="20"/>
          <w:szCs w:val="20"/>
        </w:rPr>
        <w:t>Figura 6 - Feixes desalinhados</w:t>
        <w:tab/>
        <w:t xml:space="preserve">                  Figura 7 - Feixes alinhados, </w:t>
      </w:r>
      <w:r>
        <w:rPr>
          <w:b/>
          <w:bCs/>
          <w:i/>
          <w:iCs/>
          <w:sz w:val="20"/>
          <w:szCs w:val="20"/>
        </w:rPr>
        <w:t>sobrepostos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Pode-se perceber um aumento na área iluminada quando os dois feixes ficam coincidentes na Figura 7, mas também que as áreas na Figura 6 ao redor de cada feixe não são iguais. Algo essencial para que o experimento dê certo é que os dois feixes não tenham uma discrepância muito grande  na intensidade um do outro.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Para medirmos as intensidades de cada feixe, utilizamos também um </w:t>
      </w:r>
      <w:r>
        <w:rPr>
          <w:i w:val="false"/>
          <w:iCs w:val="false"/>
          <w:sz w:val="24"/>
          <w:szCs w:val="24"/>
        </w:rPr>
        <w:t>medidor de potência de laser</w:t>
      </w:r>
      <w:r>
        <w:rPr>
          <w:i w:val="false"/>
          <w:iCs w:val="false"/>
          <w:sz w:val="24"/>
          <w:szCs w:val="24"/>
        </w:rPr>
        <w:t xml:space="preserve"> </w:t>
      </w:r>
      <w:r>
        <w:rPr>
          <w:sz w:val="24"/>
          <w:szCs w:val="24"/>
        </w:rPr>
        <w:t xml:space="preserve">da marca Spectra Physics </w:t>
      </w:r>
      <w:r>
        <w:rPr>
          <w:sz w:val="24"/>
          <w:szCs w:val="24"/>
        </w:rPr>
        <w:t>modelo 401C</w:t>
      </w:r>
      <w:r>
        <w:rPr>
          <w:sz w:val="24"/>
          <w:szCs w:val="24"/>
        </w:rPr>
        <w:t xml:space="preserve"> para receber os feixes de luz, ilustrado na Figura 8. Sua função é dizer qual a potência efetiva </w:t>
      </w:r>
      <w:r>
        <w:rPr>
          <w:sz w:val="24"/>
          <w:szCs w:val="24"/>
        </w:rPr>
        <w:t xml:space="preserve">que </w:t>
      </w:r>
      <w:r>
        <w:rPr>
          <w:sz w:val="24"/>
          <w:szCs w:val="24"/>
        </w:rPr>
        <w:t xml:space="preserve">está sendo transmitida por cada feixe de luz. </w:t>
      </w:r>
      <w:r>
        <w:rPr>
          <w:sz w:val="24"/>
          <w:szCs w:val="24"/>
        </w:rPr>
        <w:t>Não consideramos o valor absoluto, senão comparativo, pois o detetor parece estar afetado pelo uso e muito sensível à posição.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rPr/>
      </w:pPr>
      <w:r>
        <w:rPr/>
        <w:drawing>
          <wp:inline distT="114300" distB="114300" distL="114300" distR="114300">
            <wp:extent cx="2528570" cy="1704340"/>
            <wp:effectExtent l="0" t="0" r="0" b="0"/>
            <wp:docPr id="11" name="Picture" descr="IMG_1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" descr="IMG_135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17220" t="0" r="4483" b="64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570" cy="1704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8: </w:t>
      </w:r>
      <w:r>
        <w:rPr>
          <w:b/>
          <w:bCs/>
          <w:i/>
          <w:iCs/>
          <w:sz w:val="20"/>
          <w:szCs w:val="20"/>
        </w:rPr>
        <w:t>Aparelho</w:t>
      </w:r>
      <w:r>
        <w:rPr>
          <w:b/>
          <w:bCs/>
          <w:i/>
          <w:iCs/>
          <w:sz w:val="20"/>
          <w:szCs w:val="20"/>
        </w:rPr>
        <w:t xml:space="preserve"> que mede a potência do feixe de luz incidente </w:t>
      </w:r>
      <w:r>
        <w:rPr>
          <w:b/>
          <w:bCs/>
          <w:i/>
          <w:iCs/>
          <w:sz w:val="20"/>
          <w:szCs w:val="20"/>
        </w:rPr>
        <w:t>(fora de campo a cabeça do detetor)</w:t>
      </w:r>
      <w:r>
        <w:rPr>
          <w:b/>
          <w:bCs/>
          <w:i/>
          <w:iCs/>
          <w:sz w:val="20"/>
          <w:szCs w:val="20"/>
        </w:rPr>
        <w:t>.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Após calibrarmos a intensidade dos dois feixes fizemos um suporte para a placa que deve se mover para receber o feixe concentrado. As figuras 9 e 10 a seguir ilustram a montagem: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rPr/>
      </w:pPr>
      <w:r>
        <w:rPr/>
        <w:drawing>
          <wp:inline distT="114300" distB="114300" distL="114300" distR="114300">
            <wp:extent cx="2671445" cy="1538605"/>
            <wp:effectExtent l="0" t="0" r="0" b="0"/>
            <wp:docPr id="1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0" t="39873" r="0" b="2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1445" cy="1538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>Figura 9: Parte da montagem com fonte de laser, lente convergente, suporte móvel para placa e espelho para a o feixe refratado.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/>
      </w:pPr>
      <w:r>
        <w:rPr/>
        <w:drawing>
          <wp:inline distT="114300" distB="114300" distL="114300" distR="114300">
            <wp:extent cx="2804795" cy="1731645"/>
            <wp:effectExtent l="0" t="0" r="0" b="0"/>
            <wp:docPr id="1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7889" t="37250" r="0" b="243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795" cy="1731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10: Parte da montagem com espelho </w:t>
      </w:r>
      <w:r>
        <w:rPr>
          <w:b/>
          <w:bCs/>
          <w:i/>
          <w:iCs/>
          <w:sz w:val="20"/>
          <w:szCs w:val="20"/>
        </w:rPr>
        <w:t>e medidor.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montagem foi utilizada para novas placas de vidro com o filme da Polygrama, dessa vez confeccionadas por um colega: Thiago Guedin </w:t>
      </w:r>
      <w:r>
        <w:rPr>
          <w:sz w:val="24"/>
          <w:szCs w:val="24"/>
        </w:rPr>
        <w:t xml:space="preserve">(ver relatório </w:t>
      </w:r>
      <w:r>
        <w:rPr>
          <w:i/>
          <w:iCs/>
          <w:sz w:val="24"/>
          <w:szCs w:val="24"/>
        </w:rPr>
        <w:t>“</w:t>
      </w:r>
      <w:r>
        <w:rPr>
          <w:rFonts w:ascii="Arial" w:hAnsi="Arial"/>
          <w:b w:val="false"/>
          <w:i/>
          <w:iCs/>
          <w:caps w:val="false"/>
          <w:smallCaps w:val="false"/>
          <w:color w:val="000000"/>
          <w:spacing w:val="0"/>
          <w:sz w:val="20"/>
        </w:rPr>
        <w:t>Medição de difração por interferência registrada em materiais fotosenssíveis”</w:t>
      </w:r>
      <w:r>
        <w:rPr>
          <w:sz w:val="24"/>
          <w:szCs w:val="24"/>
        </w:rPr>
        <w:t xml:space="preserve"> da disciplina F 530 dele, deste semestre)</w:t>
      </w:r>
      <w:r>
        <w:rPr>
          <w:sz w:val="24"/>
          <w:szCs w:val="24"/>
        </w:rPr>
        <w:t>. Incidimos o feixe de luz concentrado em um ponto da placa e após intervalos de tempo crescentes como uma progressão geométrica de razão dois, movíamos a placa para que o feixe incidisse num novo ponto. Assim poderíamos ver claramente a partir de quanto tempo de exposição o material ficaria marcado. Não houve resultados positivos nessa etapa também, a placa permaneceu inalterada quanto ao registro da luz.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Como alternativa para o material da Polygrama utilizamos placas Litiholo novamente, com resultados mais satisfatórios, como pode ser visto  nas Figuras 11 e 12 abaixo:</w:t>
      </w:r>
    </w:p>
    <w:tbl>
      <w:tblPr>
        <w:tblW w:w="9026" w:type="dxa"/>
        <w:jc w:val="left"/>
        <w:tblInd w:w="0" w:type="dxa"/>
        <w:tblBorders>
          <w:top w:val="nil"/>
          <w:left w:val="nil"/>
          <w:bottom w:val="nil"/>
          <w:insideH w:val="nil"/>
          <w:right w:val="nil"/>
          <w:insideV w:val="nil"/>
        </w:tblBorders>
        <w:tblCellMar>
          <w:top w:w="0" w:type="dxa"/>
          <w:left w:w="0" w:type="dxa"/>
          <w:bottom w:w="0" w:type="dxa"/>
          <w:right w:w="0" w:type="dxa"/>
        </w:tblCellMar>
      </w:tblPr>
      <w:tblGrid>
        <w:gridCol w:w="4513"/>
        <w:gridCol w:w="4513"/>
      </w:tblGrid>
      <w:tr>
        <w:trPr>
          <w:cantSplit w:val="false"/>
        </w:trPr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inline distT="114300" distB="114300" distL="114300" distR="114300">
                  <wp:extent cx="2628900" cy="1499870"/>
                  <wp:effectExtent l="0" t="0" r="0" b="0"/>
                  <wp:docPr id="14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900" cy="1499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3" w:type="dxa"/>
            <w:tcBorders>
              <w:top w:val="nil"/>
              <w:left w:val="nil"/>
              <w:bottom w:val="nil"/>
              <w:insideH w:val="nil"/>
              <w:right w:val="nil"/>
              <w:insideV w:val="nil"/>
            </w:tcBorders>
            <w:shd w:fill="auto" w:val="clear"/>
          </w:tcPr>
          <w:p>
            <w:pPr>
              <w:pStyle w:val="Contedodatabela"/>
              <w:jc w:val="both"/>
              <w:rPr/>
            </w:pPr>
            <w:r>
              <w:rPr/>
              <w:drawing>
                <wp:inline distT="114300" distB="114300" distL="114300" distR="114300">
                  <wp:extent cx="2670175" cy="1499870"/>
                  <wp:effectExtent l="0" t="0" r="0" b="0"/>
                  <wp:docPr id="15" name="Picture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Picture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0175" cy="1499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Normal"/>
        <w:spacing w:before="0" w:after="0"/>
        <w:rPr/>
      </w:pPr>
      <w:r>
        <w:rPr/>
        <w:t xml:space="preserve">   </w:t>
      </w:r>
    </w:p>
    <w:p>
      <w:pPr>
        <w:pStyle w:val="Normal"/>
        <w:spacing w:before="0" w:after="0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11: Registro com um feixe        </w:t>
        <w:tab/>
        <w:tab/>
        <w:t xml:space="preserve">   Figura 12: Registro com os dois feixes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>Podemos perceber que a incidência de um feixe já foi capaz de registrar algo na placa, o que não foge da teoria. O registro decorre da interferência do feixe incidente com o próprio feixe quando reflete no outro lado da placa. A incidência da luz em cada face reflete cerca de 4% e refrata cerca de 96% da luz incidente. Logo os 4% que são refletidos na segunda face encontram com os 9</w:t>
      </w:r>
      <w:r>
        <w:rPr>
          <w:sz w:val="24"/>
          <w:szCs w:val="24"/>
        </w:rPr>
        <w:t>2</w:t>
      </w:r>
      <w:r>
        <w:rPr>
          <w:sz w:val="24"/>
          <w:szCs w:val="24"/>
        </w:rPr>
        <w:t xml:space="preserve">% que atravessaram a primeira face, causando interferência e possibilitando o registro.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Já no caso da Figura 12 o registro foi mais intenso pois os dois feixes eram de intensidades semelhantes, causando interferência acentuada e resultados mais nítidos.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Etapa 4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A partir desse momento a idéia de utilizar material da Polygrama foi descartada, sendo trocada por materiais da Litiholo. Prosseguimos para a montagem apresentada na apresentação do projeto presencial, que pode ser visualizada na Figura 13 e 14, </w:t>
      </w:r>
      <w:r>
        <w:rPr>
          <w:sz w:val="24"/>
          <w:szCs w:val="24"/>
        </w:rPr>
        <w:t>recebida do trabalho anterior de alunos do Prof. Lunazzi</w:t>
      </w:r>
      <w:r>
        <w:rPr>
          <w:sz w:val="24"/>
          <w:szCs w:val="24"/>
        </w:rPr>
        <w:t xml:space="preserve">. 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/>
      </w:pPr>
      <w:r>
        <w:rPr/>
        <w:drawing>
          <wp:inline distT="114300" distB="114300" distL="114300" distR="114300">
            <wp:extent cx="4057015" cy="2757170"/>
            <wp:effectExtent l="0" t="0" r="0" b="0"/>
            <wp:docPr id="16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1323" t="5656" r="100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015" cy="275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jc w:val="both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>Figura 13: Montagem experimental apresentada no começo do semestre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drawing>
          <wp:inline distT="114300" distB="114300" distL="114300" distR="114300">
            <wp:extent cx="2990215" cy="2811780"/>
            <wp:effectExtent l="0" t="0" r="0" b="0"/>
            <wp:docPr id="17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 l="0" t="-2264" r="0" b="323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215" cy="2811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jc w:val="both"/>
        <w:rPr>
          <w:b/>
          <w:bCs/>
          <w:i/>
          <w:iCs/>
          <w:sz w:val="20"/>
          <w:szCs w:val="20"/>
        </w:rPr>
      </w:pPr>
      <w:r>
        <w:rPr>
          <w:b/>
          <w:bCs/>
          <w:i/>
          <w:iCs/>
          <w:sz w:val="20"/>
          <w:szCs w:val="20"/>
        </w:rPr>
        <w:t xml:space="preserve">Figura 14: </w:t>
      </w:r>
      <w:r>
        <w:rPr>
          <w:b/>
          <w:bCs/>
          <w:i/>
          <w:iCs/>
          <w:sz w:val="20"/>
          <w:szCs w:val="20"/>
        </w:rPr>
        <w:t>Outra vista da m</w:t>
      </w:r>
      <w:r>
        <w:rPr>
          <w:b/>
          <w:bCs/>
          <w:i/>
          <w:iCs/>
          <w:sz w:val="20"/>
          <w:szCs w:val="20"/>
        </w:rPr>
        <w:t>ontagem experimental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Dentro da caixa preta há duas lâmpadas halógenas a distâncias diferentes de uma grade de difração, cuja função é produzir o espectro de luz produzido pelos filamentos das lâmpadas halógenas. Há uma lente após a grade de difração com a função de focalizar o espectro fabricado. Como essa lente é convergente, é importante colocar o anteparo na sua distância focal. Uma fonte de laser verde está logo acima dessa lente, soltando um feixe luminoso </w:t>
      </w:r>
      <w:r>
        <w:rPr>
          <w:sz w:val="24"/>
          <w:szCs w:val="24"/>
        </w:rPr>
        <w:t xml:space="preserve">dispersado horizontalmente por uma lente cilíndrica </w:t>
      </w:r>
      <w:r>
        <w:rPr>
          <w:sz w:val="24"/>
          <w:szCs w:val="24"/>
        </w:rPr>
        <w:t xml:space="preserve">na mesma direção que o espectro. O anteparo metálico tem a função de conter a placa fotossensível para que o registro ocorra </w:t>
      </w:r>
      <w:r>
        <w:rPr>
          <w:sz w:val="24"/>
          <w:szCs w:val="24"/>
        </w:rPr>
        <w:t>e encostá-la a um filme refletor de primeira superfície para melhor gerar a onda estacionária</w:t>
      </w:r>
      <w:r>
        <w:rPr>
          <w:sz w:val="24"/>
          <w:szCs w:val="24"/>
        </w:rPr>
        <w:t>. Ajustamos o suporte e o laser para que o espectro e o feixe de luz verde ficassem  paralelas, como se pode ver na Figura 15 abaixo.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rPr/>
      </w:pPr>
      <w:r>
        <w:rPr/>
        <w:drawing>
          <wp:inline distT="114300" distB="114300" distL="114300" distR="114300">
            <wp:extent cx="4585970" cy="3253105"/>
            <wp:effectExtent l="0" t="0" r="0" b="0"/>
            <wp:docPr id="18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0" t="34021" r="0" b="165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970" cy="3253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Normal"/>
        <w:spacing w:before="0" w:after="0"/>
        <w:rPr/>
      </w:pPr>
      <w:r>
        <w:rPr/>
        <w:t xml:space="preserve">Figura 15 - Registro do espectro da lâmpada halógena 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Nessa etapa não foi possível concluir a gravação com o placa Litiholo por falta de tempo, devido a dificuldades encontradas no registro de algumas placas, apresentação do projeto para meu colega </w:t>
      </w:r>
      <w:r>
        <w:rPr>
          <w:sz w:val="24"/>
          <w:szCs w:val="24"/>
        </w:rPr>
        <w:t xml:space="preserve">Thiago </w:t>
      </w:r>
      <w:r>
        <w:rPr>
          <w:sz w:val="24"/>
          <w:szCs w:val="24"/>
        </w:rPr>
        <w:t xml:space="preserve">e dificuldade na confecção de materiais para as montagens. 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Ttulo2"/>
        <w:keepNext/>
        <w:keepLines w:val="false"/>
        <w:spacing w:lineRule="auto" w:line="240" w:before="360" w:after="80"/>
        <w:rPr>
          <w:b/>
          <w:sz w:val="34"/>
          <w:szCs w:val="34"/>
        </w:rPr>
      </w:pPr>
      <w:bookmarkStart w:id="0" w:name="h.hzotchgvmg4a"/>
      <w:bookmarkEnd w:id="0"/>
      <w:r>
        <w:rPr>
          <w:b/>
          <w:sz w:val="34"/>
          <w:szCs w:val="34"/>
        </w:rPr>
        <w:t>Conclusão</w:t>
      </w:r>
    </w:p>
    <w:p>
      <w:pPr>
        <w:pStyle w:val="Normal"/>
        <w:spacing w:lineRule="auto" w:line="276" w:before="0" w:after="0"/>
        <w:rPr/>
      </w:pPr>
      <w:r>
        <w:rPr/>
      </w:r>
    </w:p>
    <w:p>
      <w:pPr>
        <w:pStyle w:val="Normal"/>
        <w:spacing w:lineRule="auto" w:line="276" w:before="0" w:after="0"/>
        <w:ind w:left="0" w:righ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Podemos concluir que os resultados obtidos foram parciais mas satisfatórios. A impossibilidade de terminar dentro do prazo foi, como justificado no relato da etapa 4, um empecilho para o projeto que se desenvolvia constantemente. A medida que as dificuldades apareciam providenciávamos melhorias no projeto, seja por materiais diferentes ou métodos alternativos. O final da etapa 4 permanece um mistério se resultaria no registro esperado, mas caso fosse bem sucedido, seriam feitas contas que relacionassem a largura do espectro com a distância do objeto dentro da câmara, decodificando a relação entre largura do espectro e profundidade da imagem. </w:t>
      </w:r>
    </w:p>
    <w:p>
      <w:pPr>
        <w:pStyle w:val="Normal"/>
        <w:spacing w:lineRule="auto" w:line="276" w:before="0" w:after="0"/>
        <w:jc w:val="both"/>
        <w:rPr>
          <w:sz w:val="24"/>
          <w:szCs w:val="24"/>
        </w:rPr>
      </w:pPr>
      <w:r>
        <w:rPr>
          <w:sz w:val="24"/>
          <w:szCs w:val="24"/>
        </w:rPr>
        <w:tab/>
        <w:t xml:space="preserve">Em relação ao impacto que esse trabalho teve para a ciência, podemos concluir que a fabricação de imagens tridimensionais coloridas em </w:t>
      </w:r>
      <w:r>
        <w:rPr>
          <w:sz w:val="24"/>
          <w:szCs w:val="24"/>
        </w:rPr>
        <w:t>suporte de</w:t>
      </w:r>
      <w:r>
        <w:rPr>
          <w:sz w:val="24"/>
          <w:szCs w:val="24"/>
        </w:rPr>
        <w:t xml:space="preserve"> duas dimensões ainda é um desafio, mas que está aos poucos sendo resolvido.</w:t>
      </w:r>
    </w:p>
    <w:p>
      <w:pPr>
        <w:pStyle w:val="Normal"/>
        <w:spacing w:lineRule="auto" w:line="276" w:before="0" w:after="0"/>
        <w:ind w:left="0" w:righ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>O projeto foi trabalhoso mas bem proveitoso ao mesmo tempo, dado que o conhecimento que adquiri nesse período não se aprende em salas de aula. Além de teorias que vão além da física básica, o uso da oficina mecânica foi uma constante. A necessidade de pesquisa, proatividade e consulta a alguma autoridade no assunto foi de suma importância para o andamento do projeto e para minha formação.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>
          <w:b/>
          <w:sz w:val="34"/>
          <w:szCs w:val="34"/>
        </w:rPr>
      </w:pPr>
      <w:r>
        <w:rPr>
          <w:b/>
          <w:sz w:val="34"/>
          <w:szCs w:val="34"/>
        </w:rPr>
        <w:t>Comentário do orientador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ind w:left="0" w:right="0" w:firstLine="720"/>
        <w:jc w:val="both"/>
        <w:rPr>
          <w:b/>
          <w:sz w:val="24"/>
          <w:szCs w:val="24"/>
        </w:rPr>
      </w:pPr>
      <w:r>
        <w:rPr>
          <w:sz w:val="24"/>
          <w:szCs w:val="24"/>
        </w:rPr>
        <w:t>O trabalho foi desenvolvido satisfatoriamente, sendo um desafio por causa da incerteza respeito de materiais fotossensíveis novos ou instáveis e sem dados específicos fornecidos pelo fabricante. Por algum motivo o material da Polygrama não chegou a ser útil ainda, mas com o da Liti, mesmo instável, os resultados estão sendo muito interessantes e avançam no caminho do objetivo final. Foi importante para o aluno ter uma vivência de atividade de laboratório, construindo montagens a partir de elementos básicos sem praticamente utilizar aparelhos já prontos. Só não dou a nota máxima por causa de não ter reportado uma leitura maior de trabalhos correlatos como os que utilizam o material da Polygrama, por exemplo, e tentado entender o motivo de não termos bons resultados com ele.</w:t>
      </w:r>
      <w:r>
        <w:rPr>
          <w:b/>
          <w:sz w:val="24"/>
          <w:szCs w:val="24"/>
        </w:rPr>
        <w:t xml:space="preserve"> 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>
          <w:b/>
          <w:sz w:val="34"/>
          <w:szCs w:val="34"/>
        </w:rPr>
      </w:pPr>
      <w:r>
        <w:rPr>
          <w:b/>
          <w:sz w:val="34"/>
          <w:szCs w:val="34"/>
        </w:rPr>
        <w:t>Auto-Avaliação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spacing w:before="0" w:after="0"/>
        <w:ind w:left="0" w:right="0"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Me dou nota 9,5 nesse projeto, dado que todas as semanas fui pelo menos duas vezes por semana trabalhar, algumas vezes até sem a presença do professor para auxiliar. Se em algum momento pareci passivo foi devido ao receio de gastar um material que está escasso ou é de difícil obtenção. Sempre fui muito cuidadoso com as peças, guardando de volta o que eu tirei do lugar e cuidando para não danificar ou riscar algumas peças mais sensíveis. Algumas ocasiões a comunicação com o professor não aconteceu como esperado e ele foi de manhã e eu não, pois devido a algum compromisso havia me comprometido a ir de tarde naquele dia. </w:t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rPr/>
      </w:pPr>
      <w:r>
        <w:rPr/>
      </w:r>
    </w:p>
    <w:p>
      <w:pPr>
        <w:pStyle w:val="Normal"/>
        <w:spacing w:before="0" w:after="0"/>
        <w:jc w:val="both"/>
        <w:rPr>
          <w:b/>
          <w:sz w:val="34"/>
          <w:szCs w:val="34"/>
        </w:rPr>
      </w:pPr>
      <w:r>
        <w:rPr>
          <w:b/>
          <w:sz w:val="34"/>
          <w:szCs w:val="34"/>
        </w:rPr>
        <w:t>Bibliografia</w:t>
      </w:r>
    </w:p>
    <w:p>
      <w:pPr>
        <w:pStyle w:val="Normal"/>
        <w:spacing w:before="0" w:after="0"/>
        <w:jc w:val="both"/>
        <w:rPr/>
      </w:pPr>
      <w:r>
        <w:rPr/>
      </w:r>
    </w:p>
    <w:p>
      <w:pPr>
        <w:pStyle w:val="Normal"/>
        <w:numPr>
          <w:ilvl w:val="0"/>
          <w:numId w:val="1"/>
        </w:numPr>
        <w:spacing w:before="0" w:after="0"/>
        <w:ind w:left="720" w:right="0" w:firstLine="360"/>
        <w:contextualSpacing/>
        <w:jc w:val="both"/>
        <w:rPr>
          <w:rStyle w:val="LinkdaInternet"/>
          <w:i/>
          <w:color w:val="1155CC"/>
          <w:u w:val="single"/>
        </w:rPr>
      </w:pPr>
      <w:hyperlink r:id="rId21">
        <w:r>
          <w:rPr>
            <w:rStyle w:val="LinkdaInternet"/>
            <w:i/>
            <w:color w:val="1155CC"/>
            <w:u w:val="single"/>
          </w:rPr>
          <w:t>Relatório Final de F609 - Holografia com gelatina dicromada, durabilidade do material não exposto e aumento do tamanho</w:t>
        </w:r>
      </w:hyperlink>
      <w:hyperlink r:id="rId22">
        <w:r>
          <w:rPr>
            <w:rStyle w:val="LinkdaInternet"/>
            <w:color w:val="1155CC"/>
            <w:u w:val="single"/>
          </w:rPr>
          <w:t>, Aluno: Carlos Alberto de Lima, Professor e Orientador: Prof. José J. Lunazzi, 2</w:t>
        </w:r>
      </w:hyperlink>
      <w:hyperlink r:id="rId23">
        <w:r>
          <w:rPr>
            <w:rStyle w:val="LinkdaInternet"/>
            <w:i/>
            <w:color w:val="1155CC"/>
            <w:u w:val="single"/>
          </w:rPr>
          <w:t>010</w:t>
        </w:r>
      </w:hyperlink>
    </w:p>
    <w:p>
      <w:pPr>
        <w:pStyle w:val="Normal"/>
        <w:numPr>
          <w:ilvl w:val="0"/>
          <w:numId w:val="1"/>
        </w:numPr>
        <w:spacing w:before="0" w:after="0"/>
        <w:ind w:left="720" w:right="0" w:firstLine="360"/>
        <w:contextualSpacing/>
        <w:jc w:val="both"/>
        <w:rPr>
          <w:rStyle w:val="LinkdaInternet"/>
          <w:i/>
          <w:color w:val="1155CC"/>
          <w:u w:val="single"/>
        </w:rPr>
      </w:pPr>
      <w:hyperlink r:id="rId24">
        <w:r>
          <w:rPr>
            <w:rStyle w:val="LinkdaInternet"/>
            <w:i/>
            <w:color w:val="1155CC"/>
            <w:u w:val="single"/>
          </w:rPr>
          <w:t>Relatório Final F530 - Gravação de Holoimagens com Luz Branca</w:t>
        </w:r>
      </w:hyperlink>
      <w:hyperlink r:id="rId25">
        <w:r>
          <w:rPr>
            <w:rStyle w:val="LinkdaInternet"/>
            <w:color w:val="1155CC"/>
            <w:u w:val="single"/>
          </w:rPr>
          <w:t>, Aluno: André Luiz Vannucci, Orientador: José J. Lunazz</w:t>
        </w:r>
      </w:hyperlink>
      <w:hyperlink r:id="rId26">
        <w:r>
          <w:rPr>
            <w:rStyle w:val="LinkdaInternet"/>
            <w:i/>
            <w:color w:val="1155CC"/>
            <w:u w:val="single"/>
          </w:rPr>
          <w:t>i</w:t>
        </w:r>
      </w:hyperlink>
    </w:p>
    <w:p>
      <w:pPr>
        <w:pStyle w:val="Normal"/>
        <w:numPr>
          <w:ilvl w:val="0"/>
          <w:numId w:val="1"/>
        </w:numPr>
        <w:spacing w:before="0" w:after="0"/>
        <w:ind w:left="720" w:right="0" w:firstLine="360"/>
        <w:contextualSpacing/>
        <w:jc w:val="both"/>
        <w:rPr>
          <w:rStyle w:val="LinkdaInternet"/>
          <w:color w:val="1155CC"/>
          <w:u w:val="single"/>
        </w:rPr>
      </w:pPr>
      <w:hyperlink r:id="rId27">
        <w:r>
          <w:rPr>
            <w:rStyle w:val="LinkdaInternet"/>
            <w:i/>
            <w:color w:val="1155CC"/>
            <w:u w:val="single"/>
          </w:rPr>
          <w:t>Relatório Final F530 - Gravação de holoimagens em gelatina dicromatada usando lâmpadas halógenas</w:t>
        </w:r>
      </w:hyperlink>
      <w:hyperlink r:id="rId28">
        <w:r>
          <w:rPr>
            <w:rStyle w:val="LinkdaInternet"/>
            <w:color w:val="1155CC"/>
            <w:u w:val="single"/>
          </w:rPr>
          <w:t>, Aluno: Henrique Guilherme Ferreira, Orientador: Prof. José J. Lunazzi</w:t>
        </w:r>
      </w:hyperlink>
    </w:p>
    <w:p>
      <w:pPr>
        <w:pStyle w:val="Normal"/>
        <w:numPr>
          <w:ilvl w:val="0"/>
          <w:numId w:val="1"/>
        </w:numPr>
        <w:spacing w:before="0" w:after="0"/>
        <w:ind w:left="720" w:right="0" w:firstLine="360"/>
        <w:contextualSpacing/>
        <w:jc w:val="both"/>
        <w:rPr>
          <w:rStyle w:val="LinkdaInternet"/>
          <w:color w:val="1155CC"/>
          <w:u w:val="single"/>
        </w:rPr>
      </w:pPr>
      <w:hyperlink r:id="rId29">
        <w:r>
          <w:rPr>
            <w:rStyle w:val="LinkdaInternet"/>
            <w:i/>
            <w:color w:val="1155CC"/>
            <w:u w:val="single"/>
          </w:rPr>
          <w:t>Gravação de Holoimagens com Luz Branca</w:t>
        </w:r>
      </w:hyperlink>
      <w:hyperlink r:id="rId30">
        <w:r>
          <w:rPr>
            <w:rStyle w:val="LinkdaInternet"/>
            <w:color w:val="1155CC"/>
            <w:u w:val="single"/>
          </w:rPr>
          <w:t>., Aluna: Tatyana G. Stankevicius, Orientador: Prof. José J. Lunazzi</w:t>
        </w:r>
      </w:hyperlink>
    </w:p>
    <w:sectPr>
      <w:footerReference w:type="default" r:id="rId31"/>
      <w:footerReference w:type="first" r:id="rId32"/>
      <w:footnotePr>
        <w:numFmt w:val="decimal"/>
      </w:footnotePr>
      <w:type w:val="nextPage"/>
      <w:pgSz w:w="11906" w:h="16838"/>
      <w:pgMar w:left="1440" w:right="1440" w:header="0" w:top="1440" w:footer="720" w:bottom="1440" w:gutter="0"/>
      <w:pgNumType w:start="0" w:fmt="decimal"/>
      <w:formProt w:val="false"/>
      <w:titlePg/>
      <w:textDirection w:val="lrTb"/>
      <w:docGrid w:type="default" w:linePitch="240" w:charSpace="42949652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1"/>
    <w:family w:val="roman"/>
    <w:pitch w:val="variable"/>
  </w:font>
  <w:font w:name="Arial">
    <w:charset w:val="01"/>
    <w:family w:val="roman"/>
    <w:pitch w:val="variable"/>
  </w:font>
  <w:font w:name="Liberation Sans">
    <w:altName w:val="Arial"/>
    <w:charset w:val="01"/>
    <w:family w:val="swiss"/>
    <w:pitch w:val="variable"/>
  </w:font>
  <w:font w:name="Arial">
    <w:charset w:val="01"/>
    <w:family w:val="auto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Normal"/>
      <w:spacing w:before="0" w:after="0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10</w:t>
    </w:r>
    <w:r>
      <w:fldChar w:fldCharType="end"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>
  <w:p>
    <w:pPr>
      <w:pStyle w:val="Normal"/>
      <w:spacing w:before="0" w:after="0"/>
      <w:rPr/>
    </w:pPr>
    <w:r>
      <w:rPr/>
    </w:r>
  </w:p>
</w:ftr>
</file>

<file path=word/footnotes.xml><?xml version="1.0" encoding="utf-8"?>
<w:footnotes xmlns:w="http://schemas.openxmlformats.org/wordprocessingml/2006/main" xmlns:r="http://schemas.openxmlformats.org/officeDocument/2006/relationships">
  <w:footnote w:id="0" w:type="separator">
    <w:p>
      <w:r/>
    </w:p>
  </w:footnote>
  <w:footnote w:id="1" w:type="continuationSeparator">
    <w:p>
      <w:r>
        <w:continuationSeparator/>
      </w:r>
    </w:p>
  </w:footnote>
  <w:footnote w:id="2">
    <w:p>
      <w:pPr>
        <w:pStyle w:val="Normal"/>
        <w:spacing w:lineRule="auto" w:line="240" w:before="0" w:after="0"/>
        <w:rPr>
          <w:sz w:val="18"/>
          <w:szCs w:val="18"/>
        </w:rPr>
      </w:pPr>
      <w:r>
        <w:rPr>
          <w:vertAlign w:val="superscript"/>
        </w:rPr>
        <w:footnoteRef/>
        <w:tab/>
      </w:r>
      <w:r>
        <w:rPr>
          <w:sz w:val="20"/>
          <w:szCs w:val="20"/>
        </w:rPr>
        <w:t xml:space="preserve"> </w:t>
      </w:r>
      <w:r>
        <w:rPr>
          <w:sz w:val="18"/>
          <w:szCs w:val="18"/>
        </w:rPr>
        <w:t>Produzido por uma fonte de laser de potência 5 mW</w:t>
      </w:r>
    </w:p>
    <w:p>
      <w:pPr>
        <w:pStyle w:val="Notaderodap"/>
        <w:rPr/>
      </w:pPr>
      <w:r>
        <w:rPr/>
      </w:r>
    </w:p>
  </w:footnote>
  <w:footnote w:id="3">
    <w:p>
      <w:pPr>
        <w:pStyle w:val="Normal"/>
        <w:spacing w:lineRule="auto" w:line="240" w:before="0" w:after="0"/>
        <w:rPr>
          <w:sz w:val="18"/>
          <w:szCs w:val="18"/>
        </w:rPr>
      </w:pPr>
      <w:r>
        <w:rPr>
          <w:vertAlign w:val="superscript"/>
        </w:rPr>
        <w:footnoteRef/>
        <w:tab/>
      </w:r>
      <w:r>
        <w:rPr>
          <w:sz w:val="20"/>
          <w:szCs w:val="20"/>
        </w:rPr>
        <w:t xml:space="preserve"> </w:t>
      </w:r>
      <w:r>
        <w:rPr>
          <w:sz w:val="18"/>
          <w:szCs w:val="18"/>
        </w:rPr>
        <w:t xml:space="preserve">Foto extraída de outro experimento, </w:t>
      </w:r>
      <w:r>
        <w:rPr>
          <w:sz w:val="18"/>
          <w:szCs w:val="18"/>
        </w:rPr>
        <w:t>realizado pelo  Prof. Lunazzi n</w:t>
      </w:r>
      <w:r>
        <w:rPr>
          <w:sz w:val="18"/>
          <w:szCs w:val="18"/>
        </w:rPr>
        <w:t xml:space="preserve">a disciplina F 709, </w:t>
      </w:r>
      <w:r>
        <w:rPr>
          <w:sz w:val="18"/>
          <w:szCs w:val="18"/>
        </w:rPr>
        <w:t>2</w:t>
      </w:r>
      <w:r>
        <w:rPr>
          <w:sz w:val="18"/>
          <w:szCs w:val="18"/>
          <w:vertAlign w:val="superscript"/>
        </w:rPr>
        <w:t>o</w:t>
      </w:r>
      <w:r>
        <w:rPr>
          <w:sz w:val="18"/>
          <w:szCs w:val="18"/>
        </w:rPr>
        <w:t xml:space="preserve"> semestre de 2014</w:t>
      </w:r>
      <w:r>
        <w:rPr>
          <w:sz w:val="18"/>
          <w:szCs w:val="18"/>
        </w:rPr>
        <w:t>.</w:t>
      </w:r>
    </w:p>
    <w:p>
      <w:pPr>
        <w:pStyle w:val="Notaderodap"/>
        <w:rPr/>
      </w:pPr>
      <w:r>
        <w:rPr/>
      </w:r>
    </w:p>
  </w:footnote>
  <w:footnote w:id="4">
    <w:p>
      <w:pPr>
        <w:pStyle w:val="Normal"/>
        <w:spacing w:lineRule="auto" w:line="240" w:before="0" w:after="0"/>
        <w:rPr>
          <w:sz w:val="18"/>
          <w:szCs w:val="18"/>
        </w:rPr>
      </w:pPr>
      <w:r>
        <w:rPr>
          <w:vertAlign w:val="superscript"/>
        </w:rPr>
        <w:footnoteRef/>
        <w:tab/>
      </w:r>
      <w:r>
        <w:rPr>
          <w:sz w:val="20"/>
          <w:szCs w:val="20"/>
        </w:rPr>
        <w:t xml:space="preserve"> </w:t>
      </w:r>
      <w:r>
        <w:rPr>
          <w:sz w:val="18"/>
          <w:szCs w:val="18"/>
        </w:rPr>
        <w:t>Termo criado pelo Prof. Lunazzi, descreve uma imagem com paralaxe feita sem feixe de referência.</w:t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taderodap"/>
        <w:rPr/>
      </w:pPr>
      <w:r>
        <w:rPr/>
      </w:r>
    </w:p>
  </w:footnote>
  <w:footnote w:id="5">
    <w:p>
      <w:pPr>
        <w:pStyle w:val="Normal"/>
        <w:spacing w:lineRule="auto" w:line="240" w:before="0" w:after="0"/>
        <w:rPr>
          <w:sz w:val="18"/>
          <w:szCs w:val="18"/>
        </w:rPr>
      </w:pPr>
      <w:r>
        <w:rPr>
          <w:vertAlign w:val="superscript"/>
        </w:rPr>
        <w:footnoteRef/>
        <w:tab/>
      </w:r>
      <w:r>
        <w:rPr>
          <w:sz w:val="20"/>
          <w:szCs w:val="20"/>
        </w:rPr>
        <w:t xml:space="preserve"> </w:t>
      </w:r>
      <w:r>
        <w:rPr>
          <w:sz w:val="18"/>
          <w:szCs w:val="18"/>
        </w:rPr>
        <w:t>Registro de uma imagem holográfica, formada pelo encontro de um feixe de referência e um refletido.</w:t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taderodap"/>
        <w:rPr/>
      </w:pPr>
      <w:r>
        <w:rPr/>
      </w:r>
    </w:p>
  </w:footnote>
  <w:footnote w:id="6">
    <w:p>
      <w:pPr>
        <w:pStyle w:val="Normal"/>
        <w:spacing w:lineRule="auto" w:line="240" w:before="0" w:after="0"/>
        <w:rPr>
          <w:sz w:val="18"/>
          <w:szCs w:val="18"/>
        </w:rPr>
      </w:pPr>
      <w:r>
        <w:rPr>
          <w:vertAlign w:val="superscript"/>
        </w:rPr>
        <w:footnoteRef/>
        <w:tab/>
      </w:r>
      <w:r>
        <w:rPr>
          <w:sz w:val="20"/>
          <w:szCs w:val="20"/>
        </w:rPr>
        <w:t xml:space="preserve"> </w:t>
      </w:r>
      <w:r>
        <w:rPr>
          <w:sz w:val="18"/>
          <w:szCs w:val="18"/>
        </w:rPr>
        <w:t>Gabriel Lippman criou um método para o registro da luz considerando seu comprimento de onda, ou seja, conservando a informação referente à cor da luz.</w:t>
      </w:r>
    </w:p>
    <w:p>
      <w:pPr>
        <w:pStyle w:val="Normal"/>
        <w:spacing w:lineRule="auto" w:line="240" w:before="0" w:after="0"/>
        <w:rPr/>
      </w:pPr>
      <w:r>
        <w:rPr/>
      </w:r>
    </w:p>
    <w:p>
      <w:pPr>
        <w:pStyle w:val="Notaderodap"/>
        <w:rPr/>
      </w:pPr>
      <w:r>
        <w:rPr/>
      </w:r>
    </w:p>
  </w:footnote>
</w:footnote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>
  <w:abstractNum w:abstractNumId="1">
    <w:lvl w:ilvl="0">
      <w:start w:val="1"/>
      <w:numFmt w:val="decimal"/>
      <w:lvlText w:val="%1."/>
      <w:lvlJc w:val="left"/>
      <w:pPr>
        <w:ind w:left="720" w:hanging="-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-108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-180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-252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-324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-39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-468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-540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-6120"/>
      </w:pPr>
      <w:rPr>
        <w:u w:val="none"/>
      </w:rPr>
    </w:lvl>
  </w:abstractNum>
  <w:abstractNum w:abstractNumId="2"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num w:numId="1">
    <w:abstractNumId w:val="1"/>
  </w:num>
  <w:num w:numId="2">
    <w:abstractNumId w:val="2"/>
  </w:num>
</w:numbering>
</file>

<file path=word/settings.xml><?xml version="1.0" encoding="utf-8"?>
<w:settings xmlns:w="http://schemas.openxmlformats.org/wordprocessingml/2006/main">
  <w:zoom w:percent="120"/>
  <w:displayBackgroundShape/>
  <w:defaultTabStop w:val="720"/>
  <w:footnotePr>
    <w:numFmt w:val="decimal"/>
    <w:footnote w:id="0"/>
    <w:footnote w:id="1"/>
  </w:footnotePr>
</w:settings>
</file>

<file path=word/styles.xml><?xml version="1.0" encoding="utf-8"?>
<w:styles xmlns:w="http://schemas.openxmlformats.org/wordprocessingml/2006/main">
  <w:docDefaults>
    <w:rPrDefault>
      <w:rPr>
        <w:rFonts w:ascii="Arial" w:hAnsi="Arial" w:eastAsia="Arial" w:cs="Arial"/>
        <w:color w:val="000000"/>
        <w:sz w:val="22"/>
        <w:szCs w:val="22"/>
        <w:lang w:val="pt-BR" w:eastAsia="zh-CN" w:bidi="hi-IN"/>
      </w:rPr>
    </w:rPrDefault>
    <w:pPrDefault>
      <w:pPr>
        <w:widowControl/>
        <w:spacing w:lineRule="auto" w:line="276"/>
      </w:pPr>
    </w:pPrDefault>
  </w:docDefaults>
  <w:style w:type="paragraph" w:styleId="Normal">
    <w:name w:val="Normal"/>
    <w:pPr>
      <w:keepNext/>
      <w:keepLines w:val="false"/>
      <w:widowControl/>
      <w:suppressAutoHyphens w:val="true"/>
      <w:spacing w:lineRule="auto" w:line="276" w:before="0" w:after="0"/>
      <w:ind w:left="0" w:right="0" w:hanging="0"/>
      <w:jc w:val="left"/>
    </w:pPr>
    <w:rPr>
      <w:rFonts w:ascii="Arial" w:hAnsi="Arial" w:eastAsia="Arial" w:cs="Arial"/>
      <w:b w:val="false"/>
      <w:i w:val="false"/>
      <w:caps w:val="false"/>
      <w:smallCaps w:val="false"/>
      <w:strike w:val="false"/>
      <w:dstrike w:val="false"/>
      <w:color w:val="000000"/>
      <w:position w:val="0"/>
      <w:sz w:val="22"/>
      <w:sz w:val="22"/>
      <w:szCs w:val="22"/>
      <w:u w:val="none"/>
      <w:vertAlign w:val="baseline"/>
      <w:lang w:val="pt-BR" w:eastAsia="zh-CN" w:bidi="hi-IN"/>
    </w:rPr>
  </w:style>
  <w:style w:type="paragraph" w:styleId="Ttulo1">
    <w:name w:val="Título 1"/>
    <w:basedOn w:val="Normal1"/>
    <w:next w:val="Normal"/>
    <w:pPr>
      <w:keepNext/>
      <w:keepLines/>
      <w:spacing w:lineRule="auto" w:line="240" w:before="400" w:after="120"/>
      <w:contextualSpacing/>
    </w:pPr>
    <w:rPr>
      <w:sz w:val="40"/>
      <w:szCs w:val="40"/>
    </w:rPr>
  </w:style>
  <w:style w:type="paragraph" w:styleId="Ttulo2">
    <w:name w:val="Título 2"/>
    <w:basedOn w:val="Normal1"/>
    <w:next w:val="Normal"/>
    <w:pPr>
      <w:keepNext/>
      <w:keepLines/>
      <w:spacing w:lineRule="auto" w:line="240" w:before="360" w:after="120"/>
      <w:contextualSpacing/>
    </w:pPr>
    <w:rPr>
      <w:b w:val="false"/>
      <w:sz w:val="32"/>
      <w:szCs w:val="32"/>
    </w:rPr>
  </w:style>
  <w:style w:type="paragraph" w:styleId="Ttulo3">
    <w:name w:val="Título 3"/>
    <w:basedOn w:val="Normal1"/>
    <w:next w:val="Normal"/>
    <w:pPr>
      <w:keepNext/>
      <w:keepLines/>
      <w:spacing w:lineRule="auto" w:line="240" w:before="320" w:after="80"/>
      <w:contextualSpacing/>
    </w:pPr>
    <w:rPr>
      <w:b w:val="false"/>
      <w:color w:val="434343"/>
      <w:sz w:val="28"/>
      <w:szCs w:val="28"/>
    </w:rPr>
  </w:style>
  <w:style w:type="paragraph" w:styleId="Ttulo4">
    <w:name w:val="Título 4"/>
    <w:basedOn w:val="Normal1"/>
    <w:next w:val="Normal"/>
    <w:pPr>
      <w:keepNext/>
      <w:keepLines/>
      <w:spacing w:lineRule="auto" w:line="240" w:before="280" w:after="80"/>
      <w:contextualSpacing/>
    </w:pPr>
    <w:rPr>
      <w:color w:val="666666"/>
      <w:sz w:val="24"/>
      <w:szCs w:val="24"/>
    </w:rPr>
  </w:style>
  <w:style w:type="paragraph" w:styleId="Ttulo5">
    <w:name w:val="Título 5"/>
    <w:basedOn w:val="Normal1"/>
    <w:next w:val="Normal"/>
    <w:pPr>
      <w:keepNext/>
      <w:keepLines/>
      <w:spacing w:lineRule="auto" w:line="240" w:before="240" w:after="80"/>
      <w:contextualSpacing/>
    </w:pPr>
    <w:rPr>
      <w:color w:val="666666"/>
      <w:sz w:val="22"/>
      <w:szCs w:val="22"/>
    </w:rPr>
  </w:style>
  <w:style w:type="paragraph" w:styleId="Ttulo6">
    <w:name w:val="Título 6"/>
    <w:basedOn w:val="Normal1"/>
    <w:next w:val="Normal"/>
    <w:pPr>
      <w:keepNext/>
      <w:keepLines/>
      <w:spacing w:lineRule="auto" w:line="240" w:before="240" w:after="80"/>
      <w:contextualSpacing/>
    </w:pPr>
    <w:rPr>
      <w:i/>
      <w:color w:val="666666"/>
      <w:sz w:val="22"/>
      <w:szCs w:val="22"/>
    </w:rPr>
  </w:style>
  <w:style w:type="character" w:styleId="ListLabel1">
    <w:name w:val="ListLabel 1"/>
    <w:rPr>
      <w:u w:val="none"/>
    </w:rPr>
  </w:style>
  <w:style w:type="character" w:styleId="LinkdaInternet">
    <w:name w:val="Link da Internet"/>
    <w:rPr>
      <w:color w:val="000080"/>
      <w:u w:val="single"/>
      <w:lang w:val="zxx" w:eastAsia="zxx" w:bidi="zxx"/>
    </w:rPr>
  </w:style>
  <w:style w:type="character" w:styleId="Caracteresdenotaderodap">
    <w:name w:val="Caracteres de nota de rodapé"/>
    <w:rPr/>
  </w:style>
  <w:style w:type="character" w:styleId="Ncoradanotaderodap">
    <w:name w:val="Âncora da nota de rodapé"/>
    <w:rPr>
      <w:vertAlign w:val="superscript"/>
    </w:rPr>
  </w:style>
  <w:style w:type="character" w:styleId="Ncoradanotadefim">
    <w:name w:val="Âncora da nota de fim"/>
    <w:rPr>
      <w:vertAlign w:val="superscript"/>
    </w:rPr>
  </w:style>
  <w:style w:type="character" w:styleId="Caracteresdenotadefim">
    <w:name w:val="Caracteres de nota de fim"/>
    <w:rPr/>
  </w:style>
  <w:style w:type="paragraph" w:styleId="Ttulo">
    <w:name w:val="Título"/>
    <w:basedOn w:val="Normal"/>
    <w:next w:val="Corpodotexto"/>
    <w:pPr>
      <w:keepNext/>
      <w:spacing w:before="240" w:after="120"/>
    </w:pPr>
    <w:rPr>
      <w:rFonts w:ascii="Liberation Sans" w:hAnsi="Liberation Sans" w:eastAsia="Droid Sans Fallback" w:cs="FreeSans"/>
      <w:sz w:val="28"/>
      <w:szCs w:val="28"/>
    </w:rPr>
  </w:style>
  <w:style w:type="paragraph" w:styleId="Corpodotexto">
    <w:name w:val="Corpo do texto"/>
    <w:basedOn w:val="Normal"/>
    <w:pPr>
      <w:spacing w:lineRule="auto" w:line="288" w:before="0" w:after="140"/>
    </w:pPr>
    <w:rPr/>
  </w:style>
  <w:style w:type="paragraph" w:styleId="Lista">
    <w:name w:val="Lista"/>
    <w:basedOn w:val="Corpodotexto"/>
    <w:pPr/>
    <w:rPr>
      <w:rFonts w:cs="FreeSans"/>
    </w:rPr>
  </w:style>
  <w:style w:type="paragraph" w:styleId="Legenda">
    <w:name w:val="Legenda"/>
    <w:basedOn w:val="Normal"/>
    <w:pPr>
      <w:suppressLineNumbers/>
      <w:spacing w:before="120" w:after="120"/>
    </w:pPr>
    <w:rPr>
      <w:rFonts w:cs="FreeSans"/>
      <w:i/>
      <w:iCs/>
      <w:sz w:val="24"/>
      <w:szCs w:val="24"/>
    </w:rPr>
  </w:style>
  <w:style w:type="paragraph" w:styleId="Ndice">
    <w:name w:val="Índice"/>
    <w:basedOn w:val="Normal"/>
    <w:pPr>
      <w:suppressLineNumbers/>
    </w:pPr>
    <w:rPr>
      <w:rFonts w:cs="FreeSans"/>
    </w:rPr>
  </w:style>
  <w:style w:type="paragraph" w:styleId="Normal1" w:default="1">
    <w:name w:val="LO-normal"/>
    <w:pPr>
      <w:keepNext/>
      <w:keepLines w:val="false"/>
      <w:widowControl/>
      <w:suppressAutoHyphens w:val="true"/>
      <w:bidi w:val="0"/>
      <w:spacing w:lineRule="auto" w:line="276" w:before="0" w:after="0"/>
      <w:ind w:left="0" w:right="0" w:hanging="0"/>
      <w:jc w:val="left"/>
    </w:pPr>
    <w:rPr>
      <w:rFonts w:ascii="Arial" w:hAnsi="Arial" w:eastAsia="Arial" w:cs="Arial"/>
      <w:b w:val="false"/>
      <w:i w:val="false"/>
      <w:caps w:val="false"/>
      <w:smallCaps w:val="false"/>
      <w:strike w:val="false"/>
      <w:dstrike w:val="false"/>
      <w:color w:val="000000"/>
      <w:position w:val="0"/>
      <w:sz w:val="22"/>
      <w:sz w:val="22"/>
      <w:szCs w:val="22"/>
      <w:u w:val="none"/>
      <w:vertAlign w:val="baseline"/>
      <w:lang w:val="pt-BR" w:eastAsia="zh-CN" w:bidi="hi-IN"/>
    </w:rPr>
  </w:style>
  <w:style w:type="paragraph" w:styleId="Ttulododocumento">
    <w:name w:val="Título do documento"/>
    <w:basedOn w:val="Normal1"/>
    <w:next w:val="Normal"/>
    <w:pPr>
      <w:keepNext/>
      <w:keepLines/>
      <w:spacing w:lineRule="auto" w:line="240" w:before="0" w:after="60"/>
      <w:contextualSpacing/>
    </w:pPr>
    <w:rPr>
      <w:sz w:val="52"/>
      <w:szCs w:val="52"/>
    </w:rPr>
  </w:style>
  <w:style w:type="paragraph" w:styleId="Subttulo">
    <w:name w:val="Subtítulo"/>
    <w:basedOn w:val="Normal1"/>
    <w:next w:val="Normal"/>
    <w:pPr>
      <w:keepNext/>
      <w:keepLines/>
      <w:spacing w:lineRule="auto" w:line="240" w:before="0" w:after="320"/>
      <w:contextualSpacing/>
    </w:pPr>
    <w:rPr>
      <w:rFonts w:ascii="Arial" w:hAnsi="Arial" w:eastAsia="Arial" w:cs="Arial"/>
      <w:i w:val="false"/>
      <w:color w:val="666666"/>
      <w:sz w:val="30"/>
      <w:szCs w:val="30"/>
    </w:rPr>
  </w:style>
  <w:style w:type="paragraph" w:styleId="Notaderodap">
    <w:name w:val="Nota de rodapé"/>
    <w:basedOn w:val="Normal"/>
    <w:pPr/>
    <w:rPr/>
  </w:style>
  <w:style w:type="paragraph" w:styleId="Rodap">
    <w:name w:val="Rodapé"/>
    <w:basedOn w:val="Normal"/>
    <w:pPr/>
    <w:rPr/>
  </w:style>
  <w:style w:type="paragraph" w:styleId="Contedodatabela">
    <w:name w:val="Conteúdo da tabela"/>
    <w:basedOn w:val="Normal"/>
    <w:pPr/>
    <w:rPr/>
  </w:style>
  <w:style w:type="table" w:default="1" w:styleId="TableNormal">
    <w:name w:val="Table Normal"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8.jpeg"/><Relationship Id="rId3" Type="http://schemas.openxmlformats.org/officeDocument/2006/relationships/image" Target="media/image19.png"/><Relationship Id="rId4" Type="http://schemas.openxmlformats.org/officeDocument/2006/relationships/image" Target="media/image20.png"/><Relationship Id="rId5" Type="http://schemas.openxmlformats.org/officeDocument/2006/relationships/image" Target="media/image21.jpeg"/><Relationship Id="rId6" Type="http://schemas.openxmlformats.org/officeDocument/2006/relationships/image" Target="media/image22.jpeg"/><Relationship Id="rId7" Type="http://schemas.openxmlformats.org/officeDocument/2006/relationships/image" Target="media/image23.jpeg"/><Relationship Id="rId8" Type="http://schemas.openxmlformats.org/officeDocument/2006/relationships/image" Target="media/image24"/><Relationship Id="rId9" Type="http://schemas.openxmlformats.org/officeDocument/2006/relationships/image" Target="media/image25"/><Relationship Id="rId10" Type="http://schemas.openxmlformats.org/officeDocument/2006/relationships/image" Target="media/image26.jpeg"/><Relationship Id="rId11" Type="http://schemas.openxmlformats.org/officeDocument/2006/relationships/image" Target="media/image27.jpeg"/><Relationship Id="rId12" Type="http://schemas.openxmlformats.org/officeDocument/2006/relationships/image" Target="media/image28.jpeg"/><Relationship Id="rId13" Type="http://schemas.openxmlformats.org/officeDocument/2006/relationships/image" Target="media/image29.jpeg"/><Relationship Id="rId14" Type="http://schemas.openxmlformats.org/officeDocument/2006/relationships/image" Target="media/image30.jpeg"/><Relationship Id="rId15" Type="http://schemas.openxmlformats.org/officeDocument/2006/relationships/image" Target="media/image31.jpeg"/><Relationship Id="rId16" Type="http://schemas.openxmlformats.org/officeDocument/2006/relationships/image" Target="media/image32.jpeg"/><Relationship Id="rId17" Type="http://schemas.openxmlformats.org/officeDocument/2006/relationships/image" Target="media/image33.jpeg"/><Relationship Id="rId18" Type="http://schemas.openxmlformats.org/officeDocument/2006/relationships/image" Target="media/image34.png"/><Relationship Id="rId19" Type="http://schemas.openxmlformats.org/officeDocument/2006/relationships/image" Target="media/image35.jpeg"/><Relationship Id="rId20" Type="http://schemas.openxmlformats.org/officeDocument/2006/relationships/image" Target="media/image36.jpeg"/><Relationship Id="rId21" Type="http://schemas.openxmlformats.org/officeDocument/2006/relationships/hyperlink" Target="http://www.ifi.unicamp.br/~lunazzi/F530_F590_F690_F809_F895/F809/F609_2010_sem2/CarlosA-Lunazzi_F609_RF.pdf" TargetMode="External"/><Relationship Id="rId22" Type="http://schemas.openxmlformats.org/officeDocument/2006/relationships/hyperlink" Target="http://www.ifi.unicamp.br/~lunazzi/F530_F590_F690_F809_F895/F809/F609_2010_sem2/CarlosA-Lunazzi_F609_RF.pdf" TargetMode="External"/><Relationship Id="rId23" Type="http://schemas.openxmlformats.org/officeDocument/2006/relationships/hyperlink" Target="http://www.ifi.unicamp.br/~lunazzi/F530_F590_F690_F809_F895/F809/F609_2010_sem2/CarlosA-Lunazzi_F609_RF.pdf" TargetMode="External"/><Relationship Id="rId24" Type="http://schemas.openxmlformats.org/officeDocument/2006/relationships/hyperlink" Target="http://www.ifi.unicamp.br/~lunazzi/F530_F590_F690_F809_F895/F530_F590_F690_F895/F530_F590_F690_F895_2011_sem2/AndreL_Lunazzi_RF1_F530.pdf" TargetMode="External"/><Relationship Id="rId25" Type="http://schemas.openxmlformats.org/officeDocument/2006/relationships/hyperlink" Target="http://www.ifi.unicamp.br/~lunazzi/F530_F590_F690_F809_F895/F530_F590_F690_F895/F530_F590_F690_F895_2011_sem2/AndreL_Lunazzi_RF1_F530.pdf" TargetMode="External"/><Relationship Id="rId26" Type="http://schemas.openxmlformats.org/officeDocument/2006/relationships/hyperlink" Target="http://www.ifi.unicamp.br/~lunazzi/F530_F590_F690_F809_F895/F530_F590_F690_F895/F530_F590_F690_F895_2011_sem2/AndreL_Lunazzi_RF1_F530.pdf" TargetMode="External"/><Relationship Id="rId27" Type="http://schemas.openxmlformats.org/officeDocument/2006/relationships/hyperlink" Target="http://www.ifi.unicamp.br/~lunazzi/F530_F590_F690_F809_F895/F530_F590_F690_F895/F530_F590_F690_F895_2011_sem2/HenriqueG-Lunazzi_RF1_F530.pdf" TargetMode="External"/><Relationship Id="rId28" Type="http://schemas.openxmlformats.org/officeDocument/2006/relationships/hyperlink" Target="http://www.ifi.unicamp.br/~lunazzi/F530_F590_F690_F809_F895/F530_F590_F690_F895/F530_F590_F690_F895_2011_sem2/HenriqueG-Lunazzi_RF1_F530.pdf" TargetMode="External"/><Relationship Id="rId29" Type="http://schemas.openxmlformats.org/officeDocument/2006/relationships/hyperlink" Target="http://www.ifi.unicamp.br/~lunazzi/F530_F590_F690_F809_F895/F530_F590_F690_F895/F530_F590_F690_F895_2011_sem1/TatyanaG-Lunazzi_RF2_F530.pdf" TargetMode="External"/><Relationship Id="rId30" Type="http://schemas.openxmlformats.org/officeDocument/2006/relationships/hyperlink" Target="http://www.ifi.unicamp.br/~lunazzi/F530_F590_F690_F809_F895/F530_F590_F690_F895/F530_F590_F690_F895_2011_sem1/TatyanaG-Lunazzi_RF2_F530.pdf" TargetMode="External"/><Relationship Id="rId31" Type="http://schemas.openxmlformats.org/officeDocument/2006/relationships/footer" Target="footer1.xml"/><Relationship Id="rId32" Type="http://schemas.openxmlformats.org/officeDocument/2006/relationships/footer" Target="footer2.xml"/><Relationship Id="rId33" Type="http://schemas.openxmlformats.org/officeDocument/2006/relationships/footnotes" Target="footnotes.xml"/><Relationship Id="rId34" Type="http://schemas.openxmlformats.org/officeDocument/2006/relationships/numbering" Target="numbering.xml"/><Relationship Id="rId35" Type="http://schemas.openxmlformats.org/officeDocument/2006/relationships/fontTable" Target="fontTable.xml"/><Relationship Id="rId36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0</TotalTime>
  <Application>LibreOffice/4.2.8.2$Linux_X86_64 LibreOffice_project/420m0$Build-2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language>pt-BR</dc:language>
  <cp:revision>0</cp:revision>
</cp:coreProperties>
</file>